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F4B55" w14:textId="7B7FDF90" w:rsidR="00FF28F6" w:rsidRPr="005814EB" w:rsidRDefault="00122430">
      <w:pPr>
        <w:spacing w:before="120" w:after="120"/>
        <w:jc w:val="center"/>
        <w:rPr>
          <w:lang w:val="pt-BR"/>
        </w:rPr>
      </w:pPr>
      <w:r>
        <w:rPr>
          <w:noProof/>
        </w:rPr>
        <w:drawing>
          <wp:anchor distT="0" distB="0" distL="114300" distR="114300" simplePos="0" relativeHeight="251656190" behindDoc="0" locked="0" layoutInCell="1" allowOverlap="1" wp14:anchorId="11896D2D" wp14:editId="47755663">
            <wp:simplePos x="0" y="0"/>
            <wp:positionH relativeFrom="page">
              <wp:posOffset>0</wp:posOffset>
            </wp:positionH>
            <wp:positionV relativeFrom="paragraph">
              <wp:posOffset>-12700</wp:posOffset>
            </wp:positionV>
            <wp:extent cx="7562850" cy="2268855"/>
            <wp:effectExtent l="0" t="0" r="0" b="0"/>
            <wp:wrapTopAndBottom/>
            <wp:docPr id="709745561" name="Drawing 0" descr="8d28efcdc04dc1bc5626384134e50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d28efcdc04dc1bc5626384134e504ed.png"/>
                    <pic:cNvPicPr>
                      <a:picLocks noChangeAspect="1"/>
                    </pic:cNvPicPr>
                  </pic:nvPicPr>
                  <pic:blipFill>
                    <a:blip r:embed="rId8"/>
                    <a:stretch>
                      <a:fillRect/>
                    </a:stretch>
                  </pic:blipFill>
                  <pic:spPr>
                    <a:xfrm>
                      <a:off x="0" y="0"/>
                      <a:ext cx="7562850" cy="2268855"/>
                    </a:xfrm>
                    <a:prstGeom prst="rect">
                      <a:avLst/>
                    </a:prstGeom>
                  </pic:spPr>
                </pic:pic>
              </a:graphicData>
            </a:graphic>
          </wp:anchor>
        </w:drawing>
      </w:r>
    </w:p>
    <w:p w14:paraId="2B19FA82" w14:textId="51AC8766" w:rsidR="00FF28F6" w:rsidRPr="005814EB" w:rsidRDefault="00361C18">
      <w:pPr>
        <w:spacing w:before="120" w:after="120" w:line="336" w:lineRule="auto"/>
        <w:rPr>
          <w:rFonts w:ascii="Bodoni 72 Book" w:hAnsi="Bodoni 72 Book"/>
          <w:lang w:val="pt-BR"/>
        </w:rPr>
      </w:pPr>
      <w:r w:rsidRPr="005814EB">
        <w:rPr>
          <w:rFonts w:ascii="Bodoni 72 Book" w:eastAsia="Prata" w:hAnsi="Bodoni 72 Book" w:cs="Prata"/>
          <w:color w:val="00646A"/>
          <w:sz w:val="64"/>
          <w:szCs w:val="64"/>
          <w:lang w:val="pt-BR"/>
        </w:rPr>
        <w:t>Considerações principais</w:t>
      </w:r>
    </w:p>
    <w:p w14:paraId="1EAC2605" w14:textId="77777777" w:rsidR="00FF28F6" w:rsidRPr="005814EB" w:rsidRDefault="00FF28F6">
      <w:pPr>
        <w:pBdr>
          <w:bottom w:val="single" w:sz="6" w:space="0" w:color="076C72"/>
        </w:pBdr>
        <w:spacing w:before="120" w:after="120" w:line="0" w:lineRule="auto"/>
        <w:rPr>
          <w:lang w:val="pt-BR"/>
        </w:rPr>
      </w:pPr>
    </w:p>
    <w:p w14:paraId="308F7BDD" w14:textId="77777777" w:rsidR="00361C18" w:rsidRPr="005814EB" w:rsidRDefault="00361C18" w:rsidP="006D32E6">
      <w:p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O desenvolvimento de um Sistema de Informação sobre Salvaguardas (SIS) é um dos três requisitos relacionados às salvaguardas</w:t>
      </w:r>
      <w:r w:rsidRPr="005814EB">
        <w:rPr>
          <w:rStyle w:val="FootnoteReference"/>
          <w:rFonts w:ascii="Avenir Next" w:eastAsia="Montserrat" w:hAnsi="Avenir Next" w:cs="Montserrat"/>
          <w:color w:val="000000"/>
          <w:sz w:val="20"/>
          <w:szCs w:val="20"/>
          <w:lang w:val="pt-BR"/>
        </w:rPr>
        <w:footnoteReference w:id="1"/>
      </w:r>
      <w:r w:rsidRPr="005814EB">
        <w:rPr>
          <w:rFonts w:ascii="Avenir Next" w:eastAsia="Montserrat" w:hAnsi="Avenir Next" w:cs="Montserrat"/>
          <w:color w:val="000000"/>
          <w:sz w:val="20"/>
          <w:szCs w:val="20"/>
          <w:lang w:val="pt-BR"/>
        </w:rPr>
        <w:t xml:space="preserve">  delineados pela CQNUMC e está vinculado à entrega de pagamentos baseados em resultados</w:t>
      </w:r>
      <w:r w:rsidRPr="005814EB">
        <w:rPr>
          <w:rStyle w:val="FootnoteReference"/>
          <w:rFonts w:ascii="Avenir Next" w:eastAsia="Montserrat" w:hAnsi="Avenir Next" w:cs="Montserrat"/>
          <w:color w:val="000000"/>
          <w:sz w:val="20"/>
          <w:szCs w:val="20"/>
          <w:lang w:val="pt-BR"/>
        </w:rPr>
        <w:footnoteReference w:id="2"/>
      </w:r>
      <w:r w:rsidRPr="005814EB">
        <w:rPr>
          <w:rFonts w:ascii="Avenir Next" w:eastAsia="Montserrat" w:hAnsi="Avenir Next" w:cs="Montserrat"/>
          <w:color w:val="000000"/>
          <w:sz w:val="20"/>
          <w:szCs w:val="20"/>
          <w:lang w:val="pt-BR"/>
        </w:rPr>
        <w:t xml:space="preserve">  das Ações REDD+. </w:t>
      </w:r>
    </w:p>
    <w:p w14:paraId="22AB2438" w14:textId="7B35EBE0" w:rsidR="006D32E6" w:rsidRPr="005814EB" w:rsidRDefault="00361C18" w:rsidP="006D32E6">
      <w:p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Embora não haja diretrizes oficiais sobre como os países devem estabelecer um sistema para fornecer informações sobre como as salvaguardas estão sendo abordadas e respeitadas, as Partes da CQNUMC concordaram com algumas orientações gerais sobre as características de um SIS. Nomeadamente, ele deve</w:t>
      </w:r>
      <w:r w:rsidRPr="005814EB">
        <w:rPr>
          <w:rStyle w:val="FootnoteReference"/>
          <w:rFonts w:ascii="Avenir Next" w:eastAsia="Montserrat" w:hAnsi="Avenir Next" w:cs="Montserrat"/>
          <w:color w:val="000000"/>
          <w:sz w:val="20"/>
          <w:szCs w:val="20"/>
          <w:lang w:val="pt-BR"/>
        </w:rPr>
        <w:footnoteReference w:id="3"/>
      </w:r>
      <w:r w:rsidRPr="005814EB">
        <w:rPr>
          <w:rFonts w:ascii="Avenir Next" w:eastAsia="Montserrat" w:hAnsi="Avenir Next" w:cs="Montserrat"/>
          <w:color w:val="000000"/>
          <w:sz w:val="20"/>
          <w:szCs w:val="20"/>
          <w:lang w:val="pt-BR"/>
        </w:rPr>
        <w:t>:</w:t>
      </w:r>
    </w:p>
    <w:p w14:paraId="36BEA4D9" w14:textId="77777777" w:rsidR="0080486F" w:rsidRPr="005814EB" w:rsidRDefault="0080486F" w:rsidP="0080486F">
      <w:pPr>
        <w:pStyle w:val="ListParagraph"/>
        <w:numPr>
          <w:ilvl w:val="0"/>
          <w:numId w:val="19"/>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Ser consistente com as orientações identificadas na decisão 1/CP.16, apêndice I, parágrafo 1;</w:t>
      </w:r>
    </w:p>
    <w:p w14:paraId="2F5F4C87" w14:textId="1E061652" w:rsidR="0080486F" w:rsidRPr="005814EB" w:rsidRDefault="0080486F" w:rsidP="0080486F">
      <w:pPr>
        <w:pStyle w:val="ListParagraph"/>
        <w:numPr>
          <w:ilvl w:val="0"/>
          <w:numId w:val="19"/>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Fornecer informações transparentes e consistentes que sejam acessíveis a todas as partes interessadas relevantes e que sejam atualizadas regularmente;</w:t>
      </w:r>
    </w:p>
    <w:p w14:paraId="55CD308E" w14:textId="77777777" w:rsidR="0080486F" w:rsidRPr="005814EB" w:rsidRDefault="0080486F" w:rsidP="0080486F">
      <w:pPr>
        <w:pStyle w:val="ListParagraph"/>
        <w:numPr>
          <w:ilvl w:val="0"/>
          <w:numId w:val="19"/>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Ser transparente e flexível para permitir melhorias ao longo do tempo;</w:t>
      </w:r>
    </w:p>
    <w:p w14:paraId="0DCC4899" w14:textId="77777777" w:rsidR="0080486F" w:rsidRPr="005814EB" w:rsidRDefault="0080486F" w:rsidP="0080486F">
      <w:pPr>
        <w:pStyle w:val="ListParagraph"/>
        <w:numPr>
          <w:ilvl w:val="0"/>
          <w:numId w:val="19"/>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Fornecer informações sobre como todas as salvaguardas referidas no Apêndice I da decisão 1/CP.16 estão sendo abordadas e respeitadas (doravante referidas como 'salvaguardas de Cancún');</w:t>
      </w:r>
    </w:p>
    <w:p w14:paraId="0D320FAF" w14:textId="77777777" w:rsidR="0080486F" w:rsidRPr="005814EB" w:rsidRDefault="0080486F" w:rsidP="0080486F">
      <w:pPr>
        <w:pStyle w:val="ListParagraph"/>
        <w:numPr>
          <w:ilvl w:val="0"/>
          <w:numId w:val="19"/>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Ser conduzido pelo país e implementado em nível nacional;</w:t>
      </w:r>
    </w:p>
    <w:p w14:paraId="439C4434" w14:textId="17F0D542" w:rsidR="00361C18" w:rsidRPr="005814EB" w:rsidRDefault="0080486F" w:rsidP="0080486F">
      <w:pPr>
        <w:pStyle w:val="ListParagraph"/>
        <w:numPr>
          <w:ilvl w:val="0"/>
          <w:numId w:val="19"/>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Basear-se em sistemas existentes, conforme apropriado.</w:t>
      </w:r>
    </w:p>
    <w:p w14:paraId="3DF59F76" w14:textId="06A9C3D6" w:rsidR="006D32E6" w:rsidRPr="005814EB" w:rsidRDefault="0080486F" w:rsidP="006D32E6">
      <w:p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lastRenderedPageBreak/>
        <w:t xml:space="preserve">Na falta de diretrizes mais específicas com relação ao SIS, o sistema pode ser entendido em termos gerais como os arranjos institucionais nacionais (e os processos associados) estabelecidos para fornecer informações sobre como as salvaguardas são abordadas e respeitadas em um país durante a implementação de suas ações propostas de REDD+. O principal elemento que pode ser necessário implementar é um arranjo institucional para coletar, compilar, agregar e analisar informações relevantes, bem como prepará-las e difundi-las para atender às diferentes necessidades de apresentação de relatórios das partes interessadas nacionais e internacionais relevantes. Portanto, o desenvolvimento do SIS implica um processo de exame, avaliação e adaptação dos sistemas e fontes de informação existentes para atender às diversas necessidades de relatórios de salvaguardas do país. </w:t>
      </w:r>
    </w:p>
    <w:p w14:paraId="59F063B6" w14:textId="3E7CB867" w:rsidR="0075607E" w:rsidRPr="005814EB" w:rsidRDefault="005814EB" w:rsidP="006D32E6">
      <w:p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Esper</w:t>
      </w:r>
      <w:r>
        <w:rPr>
          <w:rFonts w:ascii="Avenir Next" w:eastAsia="Montserrat" w:hAnsi="Avenir Next" w:cs="Montserrat"/>
          <w:color w:val="000000"/>
          <w:sz w:val="20"/>
          <w:szCs w:val="20"/>
          <w:lang w:val="pt-BR"/>
        </w:rPr>
        <w:t>a</w:t>
      </w:r>
      <w:r w:rsidRPr="005814EB">
        <w:rPr>
          <w:rFonts w:ascii="Avenir Next" w:eastAsia="Montserrat" w:hAnsi="Avenir Next" w:cs="Montserrat"/>
          <w:color w:val="000000"/>
          <w:sz w:val="20"/>
          <w:szCs w:val="20"/>
          <w:lang w:val="pt-BR"/>
        </w:rPr>
        <w:t>-se</w:t>
      </w:r>
      <w:r w:rsidR="0075607E" w:rsidRPr="005814EB">
        <w:rPr>
          <w:rFonts w:ascii="Avenir Next" w:eastAsia="Montserrat" w:hAnsi="Avenir Next" w:cs="Montserrat"/>
          <w:color w:val="000000"/>
          <w:sz w:val="20"/>
          <w:szCs w:val="20"/>
          <w:lang w:val="pt-BR"/>
        </w:rPr>
        <w:t xml:space="preserve"> </w:t>
      </w:r>
      <w:r w:rsidRPr="005814EB">
        <w:rPr>
          <w:rFonts w:ascii="Avenir Next" w:eastAsia="Montserrat" w:hAnsi="Avenir Next" w:cs="Montserrat"/>
          <w:color w:val="000000"/>
          <w:sz w:val="20"/>
          <w:szCs w:val="20"/>
          <w:lang w:val="pt-BR"/>
        </w:rPr>
        <w:t>também</w:t>
      </w:r>
      <w:r w:rsidR="0075607E" w:rsidRPr="005814EB">
        <w:rPr>
          <w:rFonts w:ascii="Avenir Next" w:eastAsia="Montserrat" w:hAnsi="Avenir Next" w:cs="Montserrat"/>
          <w:color w:val="000000"/>
          <w:sz w:val="20"/>
          <w:szCs w:val="20"/>
          <w:lang w:val="pt-BR"/>
        </w:rPr>
        <w:t xml:space="preserve"> que jurisdições subnacionais tenham sistemas equivalentes. </w:t>
      </w:r>
      <w:r w:rsidRPr="005814EB">
        <w:rPr>
          <w:rFonts w:ascii="Avenir Next" w:eastAsia="Montserrat" w:hAnsi="Avenir Next" w:cs="Montserrat"/>
          <w:color w:val="000000"/>
          <w:sz w:val="20"/>
          <w:szCs w:val="20"/>
          <w:lang w:val="pt-BR"/>
        </w:rPr>
        <w:t>Jurisdições</w:t>
      </w:r>
      <w:r w:rsidR="0075607E" w:rsidRPr="005814EB">
        <w:rPr>
          <w:rFonts w:ascii="Avenir Next" w:eastAsia="Montserrat" w:hAnsi="Avenir Next" w:cs="Montserrat"/>
          <w:color w:val="000000"/>
          <w:sz w:val="20"/>
          <w:szCs w:val="20"/>
          <w:lang w:val="pt-BR"/>
        </w:rPr>
        <w:t xml:space="preserve"> </w:t>
      </w:r>
      <w:r w:rsidRPr="005814EB">
        <w:rPr>
          <w:rFonts w:ascii="Avenir Next" w:eastAsia="Montserrat" w:hAnsi="Avenir Next" w:cs="Montserrat"/>
          <w:color w:val="000000"/>
          <w:sz w:val="20"/>
          <w:szCs w:val="20"/>
          <w:lang w:val="pt-BR"/>
        </w:rPr>
        <w:t>subnacionais</w:t>
      </w:r>
      <w:r w:rsidR="0075607E" w:rsidRPr="005814EB">
        <w:rPr>
          <w:rFonts w:ascii="Avenir Next" w:eastAsia="Montserrat" w:hAnsi="Avenir Next" w:cs="Montserrat"/>
          <w:color w:val="000000"/>
          <w:sz w:val="20"/>
          <w:szCs w:val="20"/>
          <w:lang w:val="pt-BR"/>
        </w:rPr>
        <w:t xml:space="preserve"> devem a ter um 'sistema de apresentação de relatórios' subnacional que lhes permita informar tanto ao governo nacional quanto às partes interessadas nacionais sobre como as salvaguardas de Cancún estão sendo abordadas e respeitadas em nível subnacional.</w:t>
      </w:r>
    </w:p>
    <w:p w14:paraId="4C15D274" w14:textId="77777777" w:rsidR="0075607E" w:rsidRPr="005814EB" w:rsidRDefault="0075607E" w:rsidP="006D32E6">
      <w:p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Portanto, esta ferramenta destina-se a ajudar os programas J-REDD+ a compreender melhor:</w:t>
      </w:r>
    </w:p>
    <w:p w14:paraId="6D5F4762" w14:textId="77777777" w:rsidR="0075607E" w:rsidRPr="005814EB" w:rsidRDefault="0075607E" w:rsidP="0075607E">
      <w:pPr>
        <w:pStyle w:val="ListParagraph"/>
        <w:numPr>
          <w:ilvl w:val="0"/>
          <w:numId w:val="20"/>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A qualidade de seu SIS (ou equivalente) em correlação com as orientações da CQNUMC e as melhores práticas internacionais,</w:t>
      </w:r>
    </w:p>
    <w:p w14:paraId="59535DC9" w14:textId="0910EDEE" w:rsidR="0075607E" w:rsidRPr="005814EB" w:rsidRDefault="0075607E" w:rsidP="0075607E">
      <w:pPr>
        <w:pStyle w:val="ListParagraph"/>
        <w:numPr>
          <w:ilvl w:val="0"/>
          <w:numId w:val="20"/>
        </w:numPr>
        <w:spacing w:before="120" w:after="120" w:line="336" w:lineRule="auto"/>
        <w:rPr>
          <w:rFonts w:ascii="Avenir Next" w:eastAsia="Montserrat" w:hAnsi="Avenir Next" w:cs="Montserrat"/>
          <w:color w:val="000000"/>
          <w:sz w:val="20"/>
          <w:szCs w:val="20"/>
          <w:lang w:val="pt-BR"/>
        </w:rPr>
      </w:pPr>
      <w:r w:rsidRPr="005814EB">
        <w:rPr>
          <w:rFonts w:ascii="Avenir Next" w:eastAsia="Montserrat" w:hAnsi="Avenir Next" w:cs="Montserrat"/>
          <w:color w:val="000000"/>
          <w:sz w:val="20"/>
          <w:szCs w:val="20"/>
          <w:lang w:val="pt-BR"/>
        </w:rPr>
        <w:t>Identificar quaisquer lacunas, fraquezas e/ou possíveis inconsistências nesses arranjos, e identificar recomendações para abordá-las.</w:t>
      </w:r>
    </w:p>
    <w:p w14:paraId="33815E3B" w14:textId="400556DD" w:rsidR="00FF28F6" w:rsidRPr="005814EB" w:rsidRDefault="006D32E6">
      <w:pPr>
        <w:spacing w:before="120" w:after="120" w:line="336" w:lineRule="auto"/>
        <w:rPr>
          <w:rFonts w:ascii="Bodoni 72 Book" w:hAnsi="Bodoni 72 Book"/>
          <w:lang w:val="pt-BR"/>
        </w:rPr>
      </w:pPr>
      <w:r w:rsidRPr="005814EB">
        <w:rPr>
          <w:rFonts w:ascii="Bodoni 72 Book" w:eastAsia="Prata" w:hAnsi="Bodoni 72 Book" w:cs="Prata"/>
          <w:color w:val="00646A"/>
          <w:sz w:val="64"/>
          <w:szCs w:val="64"/>
          <w:lang w:val="pt-BR"/>
        </w:rPr>
        <w:t>C</w:t>
      </w:r>
      <w:r w:rsidR="0075607E" w:rsidRPr="005814EB">
        <w:rPr>
          <w:rFonts w:ascii="Bodoni 72 Book" w:eastAsia="Prata" w:hAnsi="Bodoni 72 Book" w:cs="Prata"/>
          <w:color w:val="00646A"/>
          <w:sz w:val="64"/>
          <w:szCs w:val="64"/>
          <w:lang w:val="pt-BR"/>
        </w:rPr>
        <w:t>o</w:t>
      </w:r>
      <w:r w:rsidRPr="005814EB">
        <w:rPr>
          <w:rFonts w:ascii="Bodoni 72 Book" w:eastAsia="Prata" w:hAnsi="Bodoni 72 Book" w:cs="Prata"/>
          <w:color w:val="00646A"/>
          <w:sz w:val="64"/>
          <w:szCs w:val="64"/>
          <w:lang w:val="pt-BR"/>
        </w:rPr>
        <w:t xml:space="preserve">mo utilizar esta </w:t>
      </w:r>
      <w:r w:rsidR="0075607E" w:rsidRPr="005814EB">
        <w:rPr>
          <w:rFonts w:ascii="Bodoni 72 Book" w:eastAsia="Prata" w:hAnsi="Bodoni 72 Book" w:cs="Prata"/>
          <w:color w:val="00646A"/>
          <w:sz w:val="64"/>
          <w:szCs w:val="64"/>
          <w:lang w:val="pt-BR"/>
        </w:rPr>
        <w:t>ferramenta</w:t>
      </w:r>
      <w:r w:rsidRPr="005814EB">
        <w:rPr>
          <w:rFonts w:ascii="Bodoni 72 Book" w:eastAsia="Prata" w:hAnsi="Bodoni 72 Book" w:cs="Prata"/>
          <w:color w:val="00646A"/>
          <w:sz w:val="64"/>
          <w:szCs w:val="64"/>
          <w:lang w:val="pt-BR"/>
        </w:rPr>
        <w:t>?</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FF28F6" w:rsidRPr="005814EB" w14:paraId="50D09BEE" w14:textId="77777777">
        <w:tc>
          <w:tcPr>
            <w:tcW w:w="9030" w:type="dxa"/>
            <w:shd w:val="clear" w:color="auto" w:fill="076C72"/>
            <w:tcMar>
              <w:top w:w="180" w:type="dxa"/>
              <w:left w:w="180" w:type="dxa"/>
              <w:bottom w:w="180" w:type="dxa"/>
              <w:right w:w="180" w:type="dxa"/>
            </w:tcMar>
          </w:tcPr>
          <w:p w14:paraId="076EEE22" w14:textId="71B023FF" w:rsidR="006D32E6" w:rsidRPr="005814EB" w:rsidRDefault="006D32E6" w:rsidP="006D32E6">
            <w:pPr>
              <w:spacing w:before="120" w:after="120" w:line="336" w:lineRule="auto"/>
              <w:rPr>
                <w:rFonts w:ascii="Avenir Next" w:eastAsia="IBM Plex Sans" w:hAnsi="Avenir Next" w:cs="IBM Plex Sans"/>
                <w:color w:val="FFFFFF" w:themeColor="background1"/>
                <w:sz w:val="20"/>
                <w:szCs w:val="20"/>
                <w:lang w:val="pt-BR"/>
              </w:rPr>
            </w:pPr>
            <w:r w:rsidRPr="005814EB">
              <w:rPr>
                <w:rFonts w:ascii="Avenir Next" w:eastAsia="IBM Plex Sans" w:hAnsi="Avenir Next" w:cs="IBM Plex Sans"/>
                <w:color w:val="FFFFFF" w:themeColor="background1"/>
                <w:sz w:val="20"/>
                <w:szCs w:val="20"/>
                <w:lang w:val="pt-BR"/>
              </w:rPr>
              <w:t xml:space="preserve">Esta </w:t>
            </w:r>
            <w:r w:rsidR="0075607E" w:rsidRPr="005814EB">
              <w:rPr>
                <w:rFonts w:ascii="Avenir Next" w:eastAsia="IBM Plex Sans" w:hAnsi="Avenir Next" w:cs="IBM Plex Sans"/>
                <w:color w:val="FFFFFF" w:themeColor="background1"/>
                <w:sz w:val="20"/>
                <w:szCs w:val="20"/>
                <w:lang w:val="pt-BR"/>
              </w:rPr>
              <w:t>f</w:t>
            </w:r>
            <w:r w:rsidRPr="005814EB">
              <w:rPr>
                <w:rFonts w:ascii="Avenir Next" w:eastAsia="IBM Plex Sans" w:hAnsi="Avenir Next" w:cs="IBM Plex Sans"/>
                <w:color w:val="FFFFFF" w:themeColor="background1"/>
                <w:sz w:val="20"/>
                <w:szCs w:val="20"/>
                <w:lang w:val="pt-BR"/>
              </w:rPr>
              <w:t xml:space="preserve">erramenta </w:t>
            </w:r>
            <w:r w:rsidR="0075607E" w:rsidRPr="005814EB">
              <w:rPr>
                <w:rFonts w:ascii="Avenir Next" w:eastAsia="IBM Plex Sans" w:hAnsi="Avenir Next" w:cs="IBM Plex Sans"/>
                <w:color w:val="FFFFFF" w:themeColor="background1"/>
                <w:sz w:val="20"/>
                <w:szCs w:val="20"/>
                <w:lang w:val="pt-BR"/>
              </w:rPr>
              <w:t>esta</w:t>
            </w:r>
            <w:r w:rsidRPr="005814EB">
              <w:rPr>
                <w:rFonts w:ascii="Avenir Next" w:eastAsia="IBM Plex Sans" w:hAnsi="Avenir Next" w:cs="IBM Plex Sans"/>
                <w:color w:val="FFFFFF" w:themeColor="background1"/>
                <w:sz w:val="20"/>
                <w:szCs w:val="20"/>
                <w:lang w:val="pt-BR"/>
              </w:rPr>
              <w:t xml:space="preserve"> divid</w:t>
            </w:r>
            <w:r w:rsidR="0075607E" w:rsidRPr="005814EB">
              <w:rPr>
                <w:rFonts w:ascii="Avenir Next" w:eastAsia="IBM Plex Sans" w:hAnsi="Avenir Next" w:cs="IBM Plex Sans"/>
                <w:color w:val="FFFFFF" w:themeColor="background1"/>
                <w:sz w:val="20"/>
                <w:szCs w:val="20"/>
                <w:lang w:val="pt-BR"/>
              </w:rPr>
              <w:t>a</w:t>
            </w:r>
            <w:r w:rsidRPr="005814EB">
              <w:rPr>
                <w:rFonts w:ascii="Avenir Next" w:eastAsia="IBM Plex Sans" w:hAnsi="Avenir Next" w:cs="IBM Plex Sans"/>
                <w:color w:val="FFFFFF" w:themeColor="background1"/>
                <w:sz w:val="20"/>
                <w:szCs w:val="20"/>
                <w:lang w:val="pt-BR"/>
              </w:rPr>
              <w:t xml:space="preserve"> </w:t>
            </w:r>
            <w:r w:rsidR="0075607E" w:rsidRPr="005814EB">
              <w:rPr>
                <w:rFonts w:ascii="Avenir Next" w:eastAsia="IBM Plex Sans" w:hAnsi="Avenir Next" w:cs="IBM Plex Sans"/>
                <w:color w:val="FFFFFF" w:themeColor="background1"/>
                <w:sz w:val="20"/>
                <w:szCs w:val="20"/>
                <w:lang w:val="pt-BR"/>
              </w:rPr>
              <w:t xml:space="preserve">em duas partes: </w:t>
            </w:r>
            <w:r w:rsidRPr="005814EB">
              <w:rPr>
                <w:rFonts w:ascii="Avenir Next" w:eastAsia="IBM Plex Sans" w:hAnsi="Avenir Next" w:cs="IBM Plex Sans"/>
                <w:color w:val="FFFFFF" w:themeColor="background1"/>
                <w:sz w:val="20"/>
                <w:szCs w:val="20"/>
                <w:lang w:val="pt-BR"/>
              </w:rPr>
              <w:t xml:space="preserve"> </w:t>
            </w:r>
          </w:p>
          <w:p w14:paraId="3DC66C1A" w14:textId="2ACFE42E" w:rsidR="006D32E6" w:rsidRPr="005814EB" w:rsidRDefault="0075607E" w:rsidP="006D32E6">
            <w:pPr>
              <w:pStyle w:val="ListParagraph"/>
              <w:numPr>
                <w:ilvl w:val="0"/>
                <w:numId w:val="13"/>
              </w:numPr>
              <w:spacing w:before="120" w:after="120" w:line="336" w:lineRule="auto"/>
              <w:rPr>
                <w:rFonts w:ascii="Avenir Next" w:eastAsia="IBM Plex Sans" w:hAnsi="Avenir Next" w:cs="IBM Plex Sans"/>
                <w:color w:val="FFFFFF" w:themeColor="background1"/>
                <w:sz w:val="20"/>
                <w:szCs w:val="20"/>
                <w:lang w:val="pt-BR"/>
              </w:rPr>
            </w:pPr>
            <w:r w:rsidRPr="005814EB">
              <w:rPr>
                <w:rFonts w:ascii="Avenir Next" w:eastAsia="IBM Plex Sans" w:hAnsi="Avenir Next" w:cs="IBM Plex Sans"/>
                <w:b/>
                <w:bCs/>
                <w:color w:val="FFFFFF" w:themeColor="background1"/>
                <w:sz w:val="20"/>
                <w:szCs w:val="20"/>
                <w:lang w:val="pt-BR"/>
              </w:rPr>
              <w:t>Parte</w:t>
            </w:r>
            <w:r w:rsidR="006D32E6" w:rsidRPr="005814EB">
              <w:rPr>
                <w:rFonts w:ascii="Avenir Next" w:eastAsia="IBM Plex Sans" w:hAnsi="Avenir Next" w:cs="IBM Plex Sans"/>
                <w:b/>
                <w:bCs/>
                <w:color w:val="FFFFFF" w:themeColor="background1"/>
                <w:sz w:val="20"/>
                <w:szCs w:val="20"/>
                <w:lang w:val="pt-BR"/>
              </w:rPr>
              <w:t xml:space="preserve"> A:</w:t>
            </w:r>
            <w:r w:rsidR="006D32E6" w:rsidRPr="005814EB">
              <w:rPr>
                <w:rFonts w:ascii="Avenir Next" w:eastAsia="IBM Plex Sans" w:hAnsi="Avenir Next" w:cs="IBM Plex Sans"/>
                <w:color w:val="FFFFFF" w:themeColor="background1"/>
                <w:sz w:val="20"/>
                <w:szCs w:val="20"/>
                <w:lang w:val="pt-BR"/>
              </w:rPr>
              <w:t xml:space="preserve"> </w:t>
            </w:r>
            <w:r w:rsidRPr="005814EB">
              <w:rPr>
                <w:rFonts w:ascii="Avenir Next" w:hAnsi="Avenir Next"/>
                <w:color w:val="FFFFFF" w:themeColor="background1"/>
                <w:sz w:val="20"/>
                <w:szCs w:val="20"/>
                <w:lang w:val="pt-BR"/>
              </w:rPr>
              <w:t>apresenta um questionário que orienta os usuários na avaliação qualitativa técnica do SIS (ou equivalente).</w:t>
            </w:r>
          </w:p>
          <w:p w14:paraId="3628A863" w14:textId="7023EB49" w:rsidR="00FF28F6" w:rsidRPr="005814EB" w:rsidRDefault="0075607E" w:rsidP="006D32E6">
            <w:pPr>
              <w:pStyle w:val="ListParagraph"/>
              <w:numPr>
                <w:ilvl w:val="0"/>
                <w:numId w:val="13"/>
              </w:numPr>
              <w:spacing w:before="120" w:after="120" w:line="336" w:lineRule="auto"/>
              <w:rPr>
                <w:rFonts w:ascii="Avenir Next" w:eastAsia="IBM Plex Sans" w:hAnsi="Avenir Next" w:cs="IBM Plex Sans"/>
                <w:color w:val="FFFFFF" w:themeColor="background1"/>
                <w:sz w:val="20"/>
                <w:szCs w:val="20"/>
                <w:lang w:val="pt-BR"/>
              </w:rPr>
            </w:pPr>
            <w:r w:rsidRPr="005814EB">
              <w:rPr>
                <w:rFonts w:ascii="Avenir Next" w:eastAsia="IBM Plex Sans" w:hAnsi="Avenir Next" w:cs="IBM Plex Sans"/>
                <w:b/>
                <w:bCs/>
                <w:color w:val="FFFFFF" w:themeColor="background1"/>
                <w:sz w:val="20"/>
                <w:szCs w:val="20"/>
                <w:lang w:val="pt-BR"/>
              </w:rPr>
              <w:t>Parte</w:t>
            </w:r>
            <w:r w:rsidR="006D32E6" w:rsidRPr="005814EB">
              <w:rPr>
                <w:rFonts w:ascii="Avenir Next" w:eastAsia="IBM Plex Sans" w:hAnsi="Avenir Next" w:cs="IBM Plex Sans"/>
                <w:b/>
                <w:bCs/>
                <w:color w:val="FFFFFF" w:themeColor="background1"/>
                <w:sz w:val="20"/>
                <w:szCs w:val="20"/>
                <w:lang w:val="pt-BR"/>
              </w:rPr>
              <w:t xml:space="preserve"> B:</w:t>
            </w:r>
            <w:r w:rsidR="006D32E6" w:rsidRPr="005814EB">
              <w:rPr>
                <w:rFonts w:ascii="Avenir Next" w:eastAsia="IBM Plex Sans" w:hAnsi="Avenir Next" w:cs="IBM Plex Sans"/>
                <w:color w:val="FFFFFF" w:themeColor="background1"/>
                <w:sz w:val="20"/>
                <w:szCs w:val="20"/>
                <w:lang w:val="pt-BR"/>
              </w:rPr>
              <w:t xml:space="preserve"> </w:t>
            </w:r>
            <w:r w:rsidRPr="005814EB">
              <w:rPr>
                <w:rFonts w:ascii="Avenir Next" w:hAnsi="Avenir Next"/>
                <w:color w:val="FFFFFF" w:themeColor="background1"/>
                <w:sz w:val="20"/>
                <w:szCs w:val="20"/>
                <w:lang w:val="pt-BR"/>
              </w:rPr>
              <w:t>apresenta um modelo de relatório que deve ser preenchido com base nos resultados da Parte 'A' e informará o desenvolvimento do roteiro J-REDD+ (Ferramenta 8).</w:t>
            </w:r>
          </w:p>
        </w:tc>
      </w:tr>
    </w:tbl>
    <w:p w14:paraId="7225F3EA" w14:textId="77777777" w:rsidR="00551DA3" w:rsidRPr="005814EB" w:rsidRDefault="00551DA3">
      <w:pPr>
        <w:spacing w:before="120" w:after="120" w:line="336" w:lineRule="auto"/>
        <w:rPr>
          <w:rFonts w:ascii="Montserrat" w:eastAsia="Montserrat" w:hAnsi="Montserrat" w:cs="Montserrat"/>
          <w:color w:val="000000"/>
          <w:sz w:val="64"/>
          <w:szCs w:val="64"/>
          <w:lang w:val="pt-BR"/>
        </w:rPr>
      </w:pPr>
    </w:p>
    <w:p w14:paraId="3839C971" w14:textId="13596E41" w:rsidR="00EB6B11" w:rsidRPr="005814EB" w:rsidRDefault="0075607E" w:rsidP="00EB6B11">
      <w:pPr>
        <w:spacing w:before="120" w:after="120" w:line="336" w:lineRule="auto"/>
        <w:rPr>
          <w:rFonts w:ascii="Bodoni 72 Book" w:hAnsi="Bodoni 72 Book"/>
          <w:color w:val="0D666D"/>
          <w:lang w:val="pt-BR"/>
        </w:rPr>
      </w:pPr>
      <w:r w:rsidRPr="005814EB">
        <w:rPr>
          <w:rFonts w:ascii="Bodoni 72 Book" w:eastAsia="Montserrat" w:hAnsi="Bodoni 72 Book" w:cs="Montserrat"/>
          <w:color w:val="00646A"/>
          <w:sz w:val="64"/>
          <w:szCs w:val="64"/>
          <w:lang w:val="pt-BR"/>
        </w:rPr>
        <w:lastRenderedPageBreak/>
        <w:t>Parte</w:t>
      </w:r>
      <w:r w:rsidR="00BD6BED" w:rsidRPr="005814EB">
        <w:rPr>
          <w:rFonts w:ascii="Bodoni 72 Book" w:eastAsia="Montserrat" w:hAnsi="Bodoni 72 Book" w:cs="Montserrat"/>
          <w:color w:val="00646A"/>
          <w:sz w:val="64"/>
          <w:szCs w:val="64"/>
          <w:lang w:val="pt-BR"/>
        </w:rPr>
        <w:t xml:space="preserve"> A </w:t>
      </w:r>
      <w:r w:rsidR="00EB6B11" w:rsidRPr="005814EB">
        <w:rPr>
          <w:rFonts w:ascii="Bodoni 72 Book" w:eastAsia="Montserrat" w:hAnsi="Bodoni 72 Book" w:cs="Montserrat"/>
          <w:color w:val="0D666D"/>
          <w:sz w:val="64"/>
          <w:szCs w:val="64"/>
          <w:lang w:val="pt-BR"/>
        </w:rPr>
        <w:t xml:space="preserve">- </w:t>
      </w:r>
      <w:r w:rsidR="005814EB" w:rsidRPr="005814EB">
        <w:rPr>
          <w:rFonts w:ascii="Bodoni 72 Book" w:eastAsia="Montserrat" w:hAnsi="Bodoni 72 Book" w:cs="Montserrat"/>
          <w:color w:val="0D666D"/>
          <w:sz w:val="64"/>
          <w:szCs w:val="64"/>
          <w:lang w:val="pt-BR"/>
        </w:rPr>
        <w:t>Questionário</w:t>
      </w:r>
      <w:r w:rsidR="00EB6B11" w:rsidRPr="005814EB">
        <w:rPr>
          <w:rFonts w:ascii="Bodoni 72 Book" w:eastAsia="Montserrat" w:hAnsi="Bodoni 72 Book" w:cs="Montserrat"/>
          <w:color w:val="0D666D"/>
          <w:sz w:val="64"/>
          <w:szCs w:val="64"/>
          <w:lang w:val="pt-BR"/>
        </w:rPr>
        <w:t xml:space="preserve"> </w:t>
      </w:r>
    </w:p>
    <w:p w14:paraId="0341F824" w14:textId="77777777" w:rsidR="0075607E" w:rsidRPr="005814EB" w:rsidRDefault="0075607E" w:rsidP="00EB6B11">
      <w:p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color w:val="000000"/>
          <w:sz w:val="20"/>
          <w:szCs w:val="20"/>
          <w:lang w:val="pt-BR"/>
        </w:rPr>
        <w:t>O questionário é estruturado em diferentes características que correlacionam com a orientação da CQNUMC e as melhores práticas internacionais.</w:t>
      </w:r>
    </w:p>
    <w:p w14:paraId="408941F8" w14:textId="01ED2F73" w:rsidR="00EB6B11" w:rsidRPr="005814EB" w:rsidRDefault="0075607E" w:rsidP="00EB6B11">
      <w:p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color w:val="000000"/>
          <w:sz w:val="20"/>
          <w:szCs w:val="20"/>
          <w:lang w:val="pt-BR"/>
        </w:rPr>
        <w:t xml:space="preserve"> Para completar este questionário, os usuários devem considerar o escopo de cada coluna da seguinte forma:</w:t>
      </w:r>
    </w:p>
    <w:p w14:paraId="663A5FB4" w14:textId="125918C9" w:rsidR="00EB6B11" w:rsidRPr="005814EB" w:rsidRDefault="00EB6B11" w:rsidP="00EB6B11">
      <w:pPr>
        <w:pStyle w:val="ListParagraph"/>
        <w:numPr>
          <w:ilvl w:val="0"/>
          <w:numId w:val="18"/>
        </w:num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color w:val="000000"/>
          <w:sz w:val="20"/>
          <w:szCs w:val="20"/>
          <w:lang w:val="pt-BR"/>
        </w:rPr>
        <w:t>P</w:t>
      </w:r>
      <w:r w:rsidR="0075607E" w:rsidRPr="005814EB">
        <w:rPr>
          <w:rFonts w:ascii="Avenir Next" w:eastAsia="IBM Plex Sans" w:hAnsi="Avenir Next" w:cs="IBM Plex Sans"/>
          <w:color w:val="000000"/>
          <w:sz w:val="20"/>
          <w:szCs w:val="20"/>
          <w:lang w:val="pt-BR"/>
        </w:rPr>
        <w:t>er</w:t>
      </w:r>
      <w:r w:rsidRPr="005814EB">
        <w:rPr>
          <w:rFonts w:ascii="Avenir Next" w:eastAsia="IBM Plex Sans" w:hAnsi="Avenir Next" w:cs="IBM Plex Sans"/>
          <w:color w:val="000000"/>
          <w:sz w:val="20"/>
          <w:szCs w:val="20"/>
          <w:lang w:val="pt-BR"/>
        </w:rPr>
        <w:t xml:space="preserve">guntas: </w:t>
      </w:r>
      <w:r w:rsidR="0075607E" w:rsidRPr="005814EB">
        <w:rPr>
          <w:rFonts w:ascii="Avenir Next" w:hAnsi="Avenir Next"/>
          <w:color w:val="000000"/>
          <w:sz w:val="20"/>
          <w:szCs w:val="20"/>
          <w:lang w:val="pt-BR"/>
        </w:rPr>
        <w:t xml:space="preserve">apresenta perguntas orientadoras para os usuários. Note que o uso do termo ‘equivalente’ </w:t>
      </w:r>
      <w:r w:rsidR="005814EB" w:rsidRPr="005814EB">
        <w:rPr>
          <w:rFonts w:ascii="Avenir Next" w:hAnsi="Avenir Next"/>
          <w:color w:val="000000"/>
          <w:sz w:val="20"/>
          <w:szCs w:val="20"/>
          <w:lang w:val="pt-BR"/>
        </w:rPr>
        <w:t>se refere</w:t>
      </w:r>
      <w:r w:rsidR="0075607E" w:rsidRPr="005814EB">
        <w:rPr>
          <w:rFonts w:ascii="Avenir Next" w:hAnsi="Avenir Next"/>
          <w:color w:val="000000"/>
          <w:sz w:val="20"/>
          <w:szCs w:val="20"/>
          <w:lang w:val="pt-BR"/>
        </w:rPr>
        <w:t xml:space="preserve"> a um 'sistema de relatórios' subnacional.</w:t>
      </w:r>
    </w:p>
    <w:p w14:paraId="0386AA7C" w14:textId="1DA0820A" w:rsidR="00EB6B11" w:rsidRPr="005814EB" w:rsidRDefault="00EB6B11" w:rsidP="00EB6B11">
      <w:pPr>
        <w:pStyle w:val="ListParagraph"/>
        <w:numPr>
          <w:ilvl w:val="0"/>
          <w:numId w:val="18"/>
        </w:numPr>
        <w:spacing w:before="120" w:after="120" w:line="336" w:lineRule="auto"/>
        <w:rPr>
          <w:rFonts w:ascii="Avenir Next" w:eastAsia="IBM Plex Sans" w:hAnsi="Avenir Next" w:cs="IBM Plex Sans"/>
          <w:color w:val="000000"/>
          <w:sz w:val="20"/>
          <w:szCs w:val="20"/>
          <w:lang w:val="pt-BR"/>
        </w:rPr>
      </w:pPr>
      <w:r w:rsidRPr="005814EB">
        <w:rPr>
          <w:rFonts w:ascii="Avenir Next" w:hAnsi="Avenir Next"/>
          <w:noProof/>
          <w:sz w:val="20"/>
          <w:szCs w:val="20"/>
          <w:lang w:val="pt-BR"/>
        </w:rPr>
        <w:drawing>
          <wp:anchor distT="0" distB="0" distL="114300" distR="114300" simplePos="0" relativeHeight="251664384" behindDoc="1" locked="0" layoutInCell="1" allowOverlap="1" wp14:anchorId="3E30FCC2" wp14:editId="47913472">
            <wp:simplePos x="0" y="0"/>
            <wp:positionH relativeFrom="column">
              <wp:posOffset>5080000</wp:posOffset>
            </wp:positionH>
            <wp:positionV relativeFrom="paragraph">
              <wp:posOffset>244879</wp:posOffset>
            </wp:positionV>
            <wp:extent cx="335915" cy="268605"/>
            <wp:effectExtent l="0" t="0" r="0" b="0"/>
            <wp:wrapSquare wrapText="bothSides"/>
            <wp:docPr id="19"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5814EB">
        <w:rPr>
          <w:rFonts w:ascii="Avenir Next" w:eastAsia="IBM Plex Sans" w:hAnsi="Avenir Next" w:cs="IBM Plex Sans"/>
          <w:color w:val="000000"/>
          <w:sz w:val="20"/>
          <w:szCs w:val="20"/>
          <w:lang w:val="pt-BR"/>
        </w:rPr>
        <w:t>P</w:t>
      </w:r>
      <w:r w:rsidR="0075607E" w:rsidRPr="005814EB">
        <w:rPr>
          <w:rFonts w:ascii="Avenir Next" w:hAnsi="Avenir Next"/>
          <w:color w:val="000000"/>
          <w:sz w:val="20"/>
          <w:szCs w:val="20"/>
          <w:lang w:val="pt-BR"/>
        </w:rPr>
        <w:t>ontuação: o seguinte guia de pontuação deve ser aplicado pelos usuários</w:t>
      </w:r>
    </w:p>
    <w:p w14:paraId="7FBC6CE3" w14:textId="78A23D47" w:rsidR="00EB6B11" w:rsidRPr="005814EB" w:rsidRDefault="00EB6B11" w:rsidP="00EB6B11">
      <w:pPr>
        <w:pStyle w:val="ListParagraph"/>
        <w:numPr>
          <w:ilvl w:val="1"/>
          <w:numId w:val="18"/>
        </w:num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b/>
          <w:bCs/>
          <w:color w:val="000000"/>
          <w:sz w:val="20"/>
          <w:szCs w:val="20"/>
          <w:lang w:val="pt-BR"/>
        </w:rPr>
        <w:t>Si</w:t>
      </w:r>
      <w:r w:rsidR="0075607E" w:rsidRPr="005814EB">
        <w:rPr>
          <w:rFonts w:ascii="Avenir Next" w:eastAsia="IBM Plex Sans" w:hAnsi="Avenir Next" w:cs="IBM Plex Sans"/>
          <w:b/>
          <w:bCs/>
          <w:color w:val="000000"/>
          <w:sz w:val="20"/>
          <w:szCs w:val="20"/>
          <w:lang w:val="pt-BR"/>
        </w:rPr>
        <w:t>m</w:t>
      </w:r>
      <w:r w:rsidRPr="005814EB">
        <w:rPr>
          <w:rFonts w:ascii="Avenir Next" w:eastAsia="IBM Plex Sans" w:hAnsi="Avenir Next" w:cs="IBM Plex Sans"/>
          <w:b/>
          <w:bCs/>
          <w:color w:val="000000"/>
          <w:sz w:val="20"/>
          <w:szCs w:val="20"/>
          <w:lang w:val="pt-BR"/>
        </w:rPr>
        <w:t>:</w:t>
      </w:r>
      <w:r w:rsidRPr="005814EB">
        <w:rPr>
          <w:rFonts w:ascii="Avenir Next" w:eastAsia="IBM Plex Sans" w:hAnsi="Avenir Next" w:cs="IBM Plex Sans"/>
          <w:color w:val="000000"/>
          <w:sz w:val="20"/>
          <w:szCs w:val="20"/>
          <w:lang w:val="pt-BR"/>
        </w:rPr>
        <w:t xml:space="preserve"> </w:t>
      </w:r>
      <w:r w:rsidR="0075607E" w:rsidRPr="005814EB">
        <w:rPr>
          <w:rFonts w:ascii="Avenir Next" w:eastAsia="IBM Plex Sans" w:hAnsi="Avenir Next" w:cs="IBM Plex Sans"/>
          <w:color w:val="000000"/>
          <w:sz w:val="20"/>
          <w:szCs w:val="20"/>
          <w:lang w:val="pt-BR"/>
        </w:rPr>
        <w:t>O</w:t>
      </w:r>
      <w:r w:rsidRPr="005814EB">
        <w:rPr>
          <w:rFonts w:ascii="Avenir Next" w:eastAsia="IBM Plex Sans" w:hAnsi="Avenir Next" w:cs="IBM Plex Sans"/>
          <w:color w:val="000000"/>
          <w:sz w:val="20"/>
          <w:szCs w:val="20"/>
          <w:lang w:val="pt-BR"/>
        </w:rPr>
        <w:t xml:space="preserve"> SIS (o</w:t>
      </w:r>
      <w:r w:rsidR="0075607E" w:rsidRPr="005814EB">
        <w:rPr>
          <w:rFonts w:ascii="Avenir Next" w:eastAsia="IBM Plex Sans" w:hAnsi="Avenir Next" w:cs="IBM Plex Sans"/>
          <w:color w:val="000000"/>
          <w:sz w:val="20"/>
          <w:szCs w:val="20"/>
          <w:lang w:val="pt-BR"/>
        </w:rPr>
        <w:t>u</w:t>
      </w:r>
      <w:r w:rsidRPr="005814EB">
        <w:rPr>
          <w:rFonts w:ascii="Avenir Next" w:eastAsia="IBM Plex Sans" w:hAnsi="Avenir Next" w:cs="IBM Plex Sans"/>
          <w:color w:val="000000"/>
          <w:sz w:val="20"/>
          <w:szCs w:val="20"/>
          <w:lang w:val="pt-BR"/>
        </w:rPr>
        <w:t xml:space="preserve"> equivalente) incorpora este aspecto </w:t>
      </w:r>
      <w:r w:rsidR="0075607E" w:rsidRPr="005814EB">
        <w:rPr>
          <w:rFonts w:ascii="Avenir Next" w:eastAsia="IBM Plex Sans" w:hAnsi="Avenir Next" w:cs="IBM Plex Sans"/>
          <w:color w:val="000000"/>
          <w:sz w:val="20"/>
          <w:szCs w:val="20"/>
          <w:lang w:val="pt-BR"/>
        </w:rPr>
        <w:t xml:space="preserve">em conformidade com as </w:t>
      </w:r>
      <w:r w:rsidR="005814EB" w:rsidRPr="005814EB">
        <w:rPr>
          <w:rFonts w:ascii="Avenir Next" w:eastAsia="IBM Plex Sans" w:hAnsi="Avenir Next" w:cs="IBM Plex Sans"/>
          <w:color w:val="000000"/>
          <w:sz w:val="20"/>
          <w:szCs w:val="20"/>
          <w:lang w:val="pt-BR"/>
        </w:rPr>
        <w:t>orientações</w:t>
      </w:r>
      <w:r w:rsidR="0075607E" w:rsidRPr="005814EB">
        <w:rPr>
          <w:rFonts w:ascii="Avenir Next" w:eastAsia="IBM Plex Sans" w:hAnsi="Avenir Next" w:cs="IBM Plex Sans"/>
          <w:color w:val="000000"/>
          <w:sz w:val="20"/>
          <w:szCs w:val="20"/>
          <w:lang w:val="pt-BR"/>
        </w:rPr>
        <w:t xml:space="preserve"> relevantes e/ou melhores </w:t>
      </w:r>
      <w:r w:rsidR="005814EB" w:rsidRPr="005814EB">
        <w:rPr>
          <w:rFonts w:ascii="Avenir Next" w:eastAsia="IBM Plex Sans" w:hAnsi="Avenir Next" w:cs="IBM Plex Sans"/>
          <w:color w:val="000000"/>
          <w:sz w:val="20"/>
          <w:szCs w:val="20"/>
          <w:lang w:val="pt-BR"/>
        </w:rPr>
        <w:t>práticas</w:t>
      </w:r>
      <w:r w:rsidR="0075607E" w:rsidRPr="005814EB">
        <w:rPr>
          <w:rFonts w:ascii="Avenir Next" w:eastAsia="IBM Plex Sans" w:hAnsi="Avenir Next" w:cs="IBM Plex Sans"/>
          <w:color w:val="000000"/>
          <w:sz w:val="20"/>
          <w:szCs w:val="20"/>
          <w:lang w:val="pt-BR"/>
        </w:rPr>
        <w:t xml:space="preserve">. </w:t>
      </w:r>
      <w:r w:rsidRPr="005814EB">
        <w:rPr>
          <w:rFonts w:ascii="Avenir Next" w:eastAsia="IBM Plex Sans" w:hAnsi="Avenir Next" w:cs="IBM Plex Sans"/>
          <w:color w:val="000000"/>
          <w:sz w:val="20"/>
          <w:szCs w:val="20"/>
          <w:lang w:val="pt-BR"/>
        </w:rPr>
        <w:t xml:space="preserve"> </w:t>
      </w:r>
    </w:p>
    <w:p w14:paraId="486AAFE7" w14:textId="761C1E66" w:rsidR="00EB6B11" w:rsidRPr="005814EB" w:rsidRDefault="00EB6B11" w:rsidP="00EB6B11">
      <w:pPr>
        <w:pStyle w:val="ListParagraph"/>
        <w:numPr>
          <w:ilvl w:val="1"/>
          <w:numId w:val="18"/>
        </w:num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b/>
          <w:bCs/>
          <w:color w:val="000000"/>
          <w:sz w:val="20"/>
          <w:szCs w:val="20"/>
          <w:lang w:val="pt-BR"/>
        </w:rPr>
        <w:t xml:space="preserve"> Parcialmente:</w:t>
      </w:r>
      <w:r w:rsidRPr="005814EB">
        <w:rPr>
          <w:rFonts w:ascii="Avenir Next" w:eastAsia="IBM Plex Sans" w:hAnsi="Avenir Next" w:cs="IBM Plex Sans"/>
          <w:color w:val="000000"/>
          <w:sz w:val="20"/>
          <w:szCs w:val="20"/>
          <w:lang w:val="pt-BR"/>
        </w:rPr>
        <w:t xml:space="preserve"> </w:t>
      </w:r>
      <w:r w:rsidR="0075607E" w:rsidRPr="005814EB">
        <w:rPr>
          <w:rFonts w:ascii="Avenir Next" w:eastAsia="IBM Plex Sans" w:hAnsi="Avenir Next" w:cs="IBM Plex Sans"/>
          <w:color w:val="000000"/>
          <w:sz w:val="20"/>
          <w:szCs w:val="20"/>
          <w:lang w:val="pt-BR"/>
        </w:rPr>
        <w:t>O</w:t>
      </w:r>
      <w:r w:rsidRPr="005814EB">
        <w:rPr>
          <w:rFonts w:ascii="Avenir Next" w:eastAsia="IBM Plex Sans" w:hAnsi="Avenir Next" w:cs="IBM Plex Sans"/>
          <w:color w:val="000000"/>
          <w:sz w:val="20"/>
          <w:szCs w:val="20"/>
          <w:lang w:val="pt-BR"/>
        </w:rPr>
        <w:t xml:space="preserve"> SIS (o</w:t>
      </w:r>
      <w:r w:rsidR="0075607E" w:rsidRPr="005814EB">
        <w:rPr>
          <w:rFonts w:ascii="Avenir Next" w:eastAsia="IBM Plex Sans" w:hAnsi="Avenir Next" w:cs="IBM Plex Sans"/>
          <w:color w:val="000000"/>
          <w:sz w:val="20"/>
          <w:szCs w:val="20"/>
          <w:lang w:val="pt-BR"/>
        </w:rPr>
        <w:t>u</w:t>
      </w:r>
      <w:r w:rsidRPr="005814EB">
        <w:rPr>
          <w:rFonts w:ascii="Avenir Next" w:eastAsia="IBM Plex Sans" w:hAnsi="Avenir Next" w:cs="IBM Plex Sans"/>
          <w:color w:val="000000"/>
          <w:sz w:val="20"/>
          <w:szCs w:val="20"/>
          <w:lang w:val="pt-BR"/>
        </w:rPr>
        <w:t xml:space="preserve"> equivalente) incorpora parcialmente este aspecto </w:t>
      </w:r>
      <w:r w:rsidR="0075607E" w:rsidRPr="005814EB">
        <w:rPr>
          <w:rFonts w:ascii="Avenir Next" w:eastAsia="IBM Plex Sans" w:hAnsi="Avenir Next" w:cs="IBM Plex Sans"/>
          <w:color w:val="000000"/>
          <w:sz w:val="20"/>
          <w:szCs w:val="20"/>
          <w:lang w:val="pt-BR"/>
        </w:rPr>
        <w:t>em</w:t>
      </w:r>
      <w:r w:rsidRPr="005814EB">
        <w:rPr>
          <w:rFonts w:ascii="Avenir Next" w:eastAsia="IBM Plex Sans" w:hAnsi="Avenir Next" w:cs="IBM Plex Sans"/>
          <w:color w:val="000000"/>
          <w:sz w:val="20"/>
          <w:szCs w:val="20"/>
          <w:lang w:val="pt-BR"/>
        </w:rPr>
        <w:t xml:space="preserve"> conformidad</w:t>
      </w:r>
      <w:r w:rsidR="0075607E" w:rsidRPr="005814EB">
        <w:rPr>
          <w:rFonts w:ascii="Avenir Next" w:eastAsia="IBM Plex Sans" w:hAnsi="Avenir Next" w:cs="IBM Plex Sans"/>
          <w:color w:val="000000"/>
          <w:sz w:val="20"/>
          <w:szCs w:val="20"/>
          <w:lang w:val="pt-BR"/>
        </w:rPr>
        <w:t>e</w:t>
      </w:r>
      <w:r w:rsidRPr="005814EB">
        <w:rPr>
          <w:rFonts w:ascii="Avenir Next" w:eastAsia="IBM Plex Sans" w:hAnsi="Avenir Next" w:cs="IBM Plex Sans"/>
          <w:color w:val="000000"/>
          <w:sz w:val="20"/>
          <w:szCs w:val="20"/>
          <w:lang w:val="pt-BR"/>
        </w:rPr>
        <w:t xml:space="preserve"> co</w:t>
      </w:r>
      <w:r w:rsidR="0075607E" w:rsidRPr="005814EB">
        <w:rPr>
          <w:rFonts w:ascii="Avenir Next" w:eastAsia="IBM Plex Sans" w:hAnsi="Avenir Next" w:cs="IBM Plex Sans"/>
          <w:color w:val="000000"/>
          <w:sz w:val="20"/>
          <w:szCs w:val="20"/>
          <w:lang w:val="pt-BR"/>
        </w:rPr>
        <w:t>m</w:t>
      </w:r>
      <w:r w:rsidRPr="005814EB">
        <w:rPr>
          <w:rFonts w:ascii="Avenir Next" w:eastAsia="IBM Plex Sans" w:hAnsi="Avenir Next" w:cs="IBM Plex Sans"/>
          <w:color w:val="000000"/>
          <w:sz w:val="20"/>
          <w:szCs w:val="20"/>
          <w:lang w:val="pt-BR"/>
        </w:rPr>
        <w:t xml:space="preserve"> </w:t>
      </w:r>
      <w:r w:rsidR="0075607E" w:rsidRPr="005814EB">
        <w:rPr>
          <w:rFonts w:ascii="Avenir Next" w:eastAsia="IBM Plex Sans" w:hAnsi="Avenir Next" w:cs="IBM Plex Sans"/>
          <w:color w:val="000000"/>
          <w:sz w:val="20"/>
          <w:szCs w:val="20"/>
          <w:lang w:val="pt-BR"/>
        </w:rPr>
        <w:t>as</w:t>
      </w:r>
      <w:r w:rsidRPr="005814EB">
        <w:rPr>
          <w:rFonts w:ascii="Avenir Next" w:eastAsia="IBM Plex Sans" w:hAnsi="Avenir Next" w:cs="IBM Plex Sans"/>
          <w:color w:val="000000"/>
          <w:sz w:val="20"/>
          <w:szCs w:val="20"/>
          <w:lang w:val="pt-BR"/>
        </w:rPr>
        <w:t xml:space="preserve"> </w:t>
      </w:r>
      <w:r w:rsidR="005814EB" w:rsidRPr="005814EB">
        <w:rPr>
          <w:rFonts w:ascii="Avenir Next" w:eastAsia="IBM Plex Sans" w:hAnsi="Avenir Next" w:cs="IBM Plex Sans"/>
          <w:color w:val="000000"/>
          <w:sz w:val="20"/>
          <w:szCs w:val="20"/>
          <w:lang w:val="pt-BR"/>
        </w:rPr>
        <w:t>orientações</w:t>
      </w:r>
      <w:r w:rsidR="0075607E" w:rsidRPr="005814EB">
        <w:rPr>
          <w:rFonts w:ascii="Avenir Next" w:eastAsia="IBM Plex Sans" w:hAnsi="Avenir Next" w:cs="IBM Plex Sans"/>
          <w:color w:val="000000"/>
          <w:sz w:val="20"/>
          <w:szCs w:val="20"/>
          <w:lang w:val="pt-BR"/>
        </w:rPr>
        <w:t xml:space="preserve"> relevantes e/ou melhores </w:t>
      </w:r>
      <w:r w:rsidR="005814EB" w:rsidRPr="005814EB">
        <w:rPr>
          <w:rFonts w:ascii="Avenir Next" w:eastAsia="IBM Plex Sans" w:hAnsi="Avenir Next" w:cs="IBM Plex Sans"/>
          <w:color w:val="000000"/>
          <w:sz w:val="20"/>
          <w:szCs w:val="20"/>
          <w:lang w:val="pt-BR"/>
        </w:rPr>
        <w:t>práticas</w:t>
      </w:r>
      <w:r w:rsidR="0075607E" w:rsidRPr="005814EB">
        <w:rPr>
          <w:rFonts w:ascii="Avenir Next" w:eastAsia="IBM Plex Sans" w:hAnsi="Avenir Next" w:cs="IBM Plex Sans"/>
          <w:color w:val="000000"/>
          <w:sz w:val="20"/>
          <w:szCs w:val="20"/>
          <w:lang w:val="pt-BR"/>
        </w:rPr>
        <w:t xml:space="preserve">, </w:t>
      </w:r>
      <w:r w:rsidR="005814EB" w:rsidRPr="005814EB">
        <w:rPr>
          <w:rFonts w:ascii="Avenir Next" w:eastAsia="IBM Plex Sans" w:hAnsi="Avenir Next" w:cs="IBM Plex Sans"/>
          <w:color w:val="000000"/>
          <w:sz w:val="20"/>
          <w:szCs w:val="20"/>
          <w:lang w:val="pt-BR"/>
        </w:rPr>
        <w:t>porém</w:t>
      </w:r>
      <w:r w:rsidR="0075607E" w:rsidRPr="005814EB">
        <w:rPr>
          <w:rFonts w:ascii="Avenir Next" w:eastAsia="IBM Plex Sans" w:hAnsi="Avenir Next" w:cs="IBM Plex Sans"/>
          <w:color w:val="000000"/>
          <w:sz w:val="20"/>
          <w:szCs w:val="20"/>
          <w:lang w:val="pt-BR"/>
        </w:rPr>
        <w:t xml:space="preserve"> existem </w:t>
      </w:r>
      <w:r w:rsidR="005814EB" w:rsidRPr="005814EB">
        <w:rPr>
          <w:rFonts w:ascii="Avenir Next" w:eastAsia="IBM Plex Sans" w:hAnsi="Avenir Next" w:cs="IBM Plex Sans"/>
          <w:color w:val="000000"/>
          <w:sz w:val="20"/>
          <w:szCs w:val="20"/>
          <w:lang w:val="pt-BR"/>
        </w:rPr>
        <w:t>algumas</w:t>
      </w:r>
      <w:r w:rsidR="0075607E" w:rsidRPr="005814EB">
        <w:rPr>
          <w:rFonts w:ascii="Avenir Next" w:eastAsia="IBM Plex Sans" w:hAnsi="Avenir Next" w:cs="IBM Plex Sans"/>
          <w:color w:val="000000"/>
          <w:sz w:val="20"/>
          <w:szCs w:val="20"/>
          <w:lang w:val="pt-BR"/>
        </w:rPr>
        <w:t xml:space="preserve"> lacunas que precisam ser abordadas.</w:t>
      </w:r>
    </w:p>
    <w:p w14:paraId="3EFFE5A6" w14:textId="70E9DD00" w:rsidR="00EB6B11" w:rsidRPr="005814EB" w:rsidRDefault="00EB6B11" w:rsidP="00EB6B11">
      <w:pPr>
        <w:pStyle w:val="ListParagraph"/>
        <w:numPr>
          <w:ilvl w:val="1"/>
          <w:numId w:val="18"/>
        </w:numPr>
        <w:spacing w:before="120" w:after="120" w:line="336" w:lineRule="auto"/>
        <w:rPr>
          <w:rFonts w:ascii="Avenir Next" w:eastAsia="IBM Plex Sans" w:hAnsi="Avenir Next" w:cs="IBM Plex Sans"/>
          <w:color w:val="000000"/>
          <w:sz w:val="20"/>
          <w:szCs w:val="20"/>
          <w:lang w:val="pt-BR"/>
        </w:rPr>
      </w:pPr>
      <w:r w:rsidRPr="005814EB">
        <w:rPr>
          <w:b/>
          <w:bCs/>
          <w:noProof/>
          <w:lang w:val="pt-BR"/>
        </w:rPr>
        <w:drawing>
          <wp:anchor distT="0" distB="0" distL="114300" distR="114300" simplePos="0" relativeHeight="251666432" behindDoc="0" locked="0" layoutInCell="1" allowOverlap="1" wp14:anchorId="550EFC2C" wp14:editId="56D04634">
            <wp:simplePos x="0" y="0"/>
            <wp:positionH relativeFrom="column">
              <wp:posOffset>5135418</wp:posOffset>
            </wp:positionH>
            <wp:positionV relativeFrom="paragraph">
              <wp:posOffset>226406</wp:posOffset>
            </wp:positionV>
            <wp:extent cx="322580" cy="281940"/>
            <wp:effectExtent l="0" t="0" r="0" b="0"/>
            <wp:wrapSquare wrapText="bothSides"/>
            <wp:docPr id="20"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005814EB" w:rsidRPr="005814EB">
        <w:rPr>
          <w:rFonts w:ascii="Avenir Next" w:eastAsia="IBM Plex Sans" w:hAnsi="Avenir Next" w:cs="IBM Plex Sans"/>
          <w:b/>
          <w:bCs/>
          <w:color w:val="000000"/>
          <w:sz w:val="20"/>
          <w:szCs w:val="20"/>
          <w:lang w:val="pt-BR"/>
        </w:rPr>
        <w:t>Não</w:t>
      </w:r>
      <w:r w:rsidRPr="005814EB">
        <w:rPr>
          <w:rFonts w:ascii="Avenir Next" w:eastAsia="IBM Plex Sans" w:hAnsi="Avenir Next" w:cs="IBM Plex Sans"/>
          <w:b/>
          <w:bCs/>
          <w:color w:val="000000"/>
          <w:sz w:val="20"/>
          <w:szCs w:val="20"/>
          <w:lang w:val="pt-BR"/>
        </w:rPr>
        <w:t>:</w:t>
      </w:r>
      <w:r w:rsidRPr="005814EB">
        <w:rPr>
          <w:rFonts w:ascii="Avenir Next" w:eastAsia="IBM Plex Sans" w:hAnsi="Avenir Next" w:cs="IBM Plex Sans"/>
          <w:color w:val="000000"/>
          <w:sz w:val="20"/>
          <w:szCs w:val="20"/>
          <w:lang w:val="pt-BR"/>
        </w:rPr>
        <w:t xml:space="preserve"> </w:t>
      </w:r>
      <w:r w:rsidR="0075607E" w:rsidRPr="005814EB">
        <w:rPr>
          <w:rFonts w:ascii="Avenir Next" w:eastAsia="IBM Plex Sans" w:hAnsi="Avenir Next" w:cs="IBM Plex Sans"/>
          <w:color w:val="000000"/>
          <w:sz w:val="20"/>
          <w:szCs w:val="20"/>
          <w:lang w:val="pt-BR"/>
        </w:rPr>
        <w:t>O</w:t>
      </w:r>
      <w:r w:rsidRPr="005814EB">
        <w:rPr>
          <w:rFonts w:ascii="Avenir Next" w:eastAsia="IBM Plex Sans" w:hAnsi="Avenir Next" w:cs="IBM Plex Sans"/>
          <w:color w:val="000000"/>
          <w:sz w:val="20"/>
          <w:szCs w:val="20"/>
          <w:lang w:val="pt-BR"/>
        </w:rPr>
        <w:t xml:space="preserve"> SIS (o</w:t>
      </w:r>
      <w:r w:rsidR="0075607E" w:rsidRPr="005814EB">
        <w:rPr>
          <w:rFonts w:ascii="Avenir Next" w:eastAsia="IBM Plex Sans" w:hAnsi="Avenir Next" w:cs="IBM Plex Sans"/>
          <w:color w:val="000000"/>
          <w:sz w:val="20"/>
          <w:szCs w:val="20"/>
          <w:lang w:val="pt-BR"/>
        </w:rPr>
        <w:t>u</w:t>
      </w:r>
      <w:r w:rsidRPr="005814EB">
        <w:rPr>
          <w:rFonts w:ascii="Avenir Next" w:eastAsia="IBM Plex Sans" w:hAnsi="Avenir Next" w:cs="IBM Plex Sans"/>
          <w:color w:val="000000"/>
          <w:sz w:val="20"/>
          <w:szCs w:val="20"/>
          <w:lang w:val="pt-BR"/>
        </w:rPr>
        <w:t xml:space="preserve"> equivalente) </w:t>
      </w:r>
      <w:r w:rsidR="005814EB" w:rsidRPr="005814EB">
        <w:rPr>
          <w:rFonts w:ascii="Avenir Next" w:eastAsia="IBM Plex Sans" w:hAnsi="Avenir Next" w:cs="IBM Plex Sans"/>
          <w:color w:val="000000"/>
          <w:sz w:val="20"/>
          <w:szCs w:val="20"/>
          <w:lang w:val="pt-BR"/>
        </w:rPr>
        <w:t>não</w:t>
      </w:r>
      <w:r w:rsidRPr="005814EB">
        <w:rPr>
          <w:rFonts w:ascii="Avenir Next" w:eastAsia="IBM Plex Sans" w:hAnsi="Avenir Next" w:cs="IBM Plex Sans"/>
          <w:color w:val="000000"/>
          <w:sz w:val="20"/>
          <w:szCs w:val="20"/>
          <w:lang w:val="pt-BR"/>
        </w:rPr>
        <w:t xml:space="preserve"> incorpora este aspecto </w:t>
      </w:r>
      <w:r w:rsidR="0075607E" w:rsidRPr="005814EB">
        <w:rPr>
          <w:rFonts w:ascii="Avenir Next" w:eastAsia="IBM Plex Sans" w:hAnsi="Avenir Next" w:cs="IBM Plex Sans"/>
          <w:color w:val="000000"/>
          <w:sz w:val="20"/>
          <w:szCs w:val="20"/>
          <w:lang w:val="pt-BR"/>
        </w:rPr>
        <w:t>em</w:t>
      </w:r>
      <w:r w:rsidRPr="005814EB">
        <w:rPr>
          <w:rFonts w:ascii="Avenir Next" w:eastAsia="IBM Plex Sans" w:hAnsi="Avenir Next" w:cs="IBM Plex Sans"/>
          <w:color w:val="000000"/>
          <w:sz w:val="20"/>
          <w:szCs w:val="20"/>
          <w:lang w:val="pt-BR"/>
        </w:rPr>
        <w:t xml:space="preserve"> conformidad</w:t>
      </w:r>
      <w:r w:rsidR="0075607E" w:rsidRPr="005814EB">
        <w:rPr>
          <w:rFonts w:ascii="Avenir Next" w:eastAsia="IBM Plex Sans" w:hAnsi="Avenir Next" w:cs="IBM Plex Sans"/>
          <w:color w:val="000000"/>
          <w:sz w:val="20"/>
          <w:szCs w:val="20"/>
          <w:lang w:val="pt-BR"/>
        </w:rPr>
        <w:t>e</w:t>
      </w:r>
      <w:r w:rsidRPr="005814EB">
        <w:rPr>
          <w:rFonts w:ascii="Avenir Next" w:eastAsia="IBM Plex Sans" w:hAnsi="Avenir Next" w:cs="IBM Plex Sans"/>
          <w:color w:val="000000"/>
          <w:sz w:val="20"/>
          <w:szCs w:val="20"/>
          <w:lang w:val="pt-BR"/>
        </w:rPr>
        <w:t xml:space="preserve"> co</w:t>
      </w:r>
      <w:r w:rsidR="0075607E" w:rsidRPr="005814EB">
        <w:rPr>
          <w:rFonts w:ascii="Avenir Next" w:eastAsia="IBM Plex Sans" w:hAnsi="Avenir Next" w:cs="IBM Plex Sans"/>
          <w:color w:val="000000"/>
          <w:sz w:val="20"/>
          <w:szCs w:val="20"/>
          <w:lang w:val="pt-BR"/>
        </w:rPr>
        <w:t>m a</w:t>
      </w:r>
      <w:r w:rsidR="00D6251A">
        <w:rPr>
          <w:rFonts w:ascii="Avenir Next" w:eastAsia="IBM Plex Sans" w:hAnsi="Avenir Next" w:cs="IBM Plex Sans"/>
          <w:color w:val="000000"/>
          <w:sz w:val="20"/>
          <w:szCs w:val="20"/>
          <w:lang w:val="pt-BR"/>
        </w:rPr>
        <w:t>s</w:t>
      </w:r>
      <w:r w:rsidR="0075607E" w:rsidRPr="005814EB">
        <w:rPr>
          <w:rFonts w:ascii="Avenir Next" w:eastAsia="IBM Plex Sans" w:hAnsi="Avenir Next" w:cs="IBM Plex Sans"/>
          <w:color w:val="000000"/>
          <w:sz w:val="20"/>
          <w:szCs w:val="20"/>
          <w:lang w:val="pt-BR"/>
        </w:rPr>
        <w:t xml:space="preserve"> </w:t>
      </w:r>
      <w:r w:rsidR="005814EB" w:rsidRPr="005814EB">
        <w:rPr>
          <w:rFonts w:ascii="Avenir Next" w:eastAsia="IBM Plex Sans" w:hAnsi="Avenir Next" w:cs="IBM Plex Sans"/>
          <w:color w:val="000000"/>
          <w:sz w:val="20"/>
          <w:szCs w:val="20"/>
          <w:lang w:val="pt-BR"/>
        </w:rPr>
        <w:t>orientações</w:t>
      </w:r>
      <w:r w:rsidR="0075607E" w:rsidRPr="005814EB">
        <w:rPr>
          <w:rFonts w:ascii="Avenir Next" w:eastAsia="IBM Plex Sans" w:hAnsi="Avenir Next" w:cs="IBM Plex Sans"/>
          <w:color w:val="000000"/>
          <w:sz w:val="20"/>
          <w:szCs w:val="20"/>
          <w:lang w:val="pt-BR"/>
        </w:rPr>
        <w:t xml:space="preserve"> relevantes e/ou melhores </w:t>
      </w:r>
      <w:r w:rsidR="00122430" w:rsidRPr="005814EB">
        <w:rPr>
          <w:rFonts w:ascii="Avenir Next" w:eastAsia="IBM Plex Sans" w:hAnsi="Avenir Next" w:cs="IBM Plex Sans"/>
          <w:color w:val="000000"/>
          <w:sz w:val="20"/>
          <w:szCs w:val="20"/>
          <w:lang w:val="pt-BR"/>
        </w:rPr>
        <w:t>práticas</w:t>
      </w:r>
      <w:r w:rsidR="0075607E" w:rsidRPr="005814EB">
        <w:rPr>
          <w:rFonts w:ascii="Avenir Next" w:eastAsia="IBM Plex Sans" w:hAnsi="Avenir Next" w:cs="IBM Plex Sans"/>
          <w:color w:val="000000"/>
          <w:sz w:val="20"/>
          <w:szCs w:val="20"/>
          <w:lang w:val="pt-BR"/>
        </w:rPr>
        <w:t xml:space="preserve">, e </w:t>
      </w:r>
      <w:r w:rsidR="005814EB" w:rsidRPr="005814EB">
        <w:rPr>
          <w:rFonts w:ascii="Avenir Next" w:eastAsia="IBM Plex Sans" w:hAnsi="Avenir Next" w:cs="IBM Plex Sans"/>
          <w:color w:val="000000"/>
          <w:sz w:val="20"/>
          <w:szCs w:val="20"/>
          <w:lang w:val="pt-BR"/>
        </w:rPr>
        <w:t>existem</w:t>
      </w:r>
      <w:r w:rsidR="0075607E" w:rsidRPr="005814EB">
        <w:rPr>
          <w:rFonts w:ascii="Avenir Next" w:eastAsia="IBM Plex Sans" w:hAnsi="Avenir Next" w:cs="IBM Plex Sans"/>
          <w:color w:val="000000"/>
          <w:sz w:val="20"/>
          <w:szCs w:val="20"/>
          <w:lang w:val="pt-BR"/>
        </w:rPr>
        <w:t xml:space="preserve"> </w:t>
      </w:r>
      <w:r w:rsidR="005814EB" w:rsidRPr="005814EB">
        <w:rPr>
          <w:rFonts w:ascii="Avenir Next" w:eastAsia="IBM Plex Sans" w:hAnsi="Avenir Next" w:cs="IBM Plex Sans"/>
          <w:color w:val="000000"/>
          <w:sz w:val="20"/>
          <w:szCs w:val="20"/>
          <w:lang w:val="pt-BR"/>
        </w:rPr>
        <w:t>lacun</w:t>
      </w:r>
      <w:r w:rsidR="005814EB">
        <w:rPr>
          <w:rFonts w:ascii="Avenir Next" w:eastAsia="IBM Plex Sans" w:hAnsi="Avenir Next" w:cs="IBM Plex Sans"/>
          <w:color w:val="000000"/>
          <w:sz w:val="20"/>
          <w:szCs w:val="20"/>
          <w:lang w:val="pt-BR"/>
        </w:rPr>
        <w:t>a</w:t>
      </w:r>
      <w:r w:rsidR="005814EB" w:rsidRPr="005814EB">
        <w:rPr>
          <w:rFonts w:ascii="Avenir Next" w:eastAsia="IBM Plex Sans" w:hAnsi="Avenir Next" w:cs="IBM Plex Sans"/>
          <w:color w:val="000000"/>
          <w:sz w:val="20"/>
          <w:szCs w:val="20"/>
          <w:lang w:val="pt-BR"/>
        </w:rPr>
        <w:t>s</w:t>
      </w:r>
      <w:r w:rsidR="0075607E" w:rsidRPr="005814EB">
        <w:rPr>
          <w:rFonts w:ascii="Avenir Next" w:eastAsia="IBM Plex Sans" w:hAnsi="Avenir Next" w:cs="IBM Plex Sans"/>
          <w:color w:val="000000"/>
          <w:sz w:val="20"/>
          <w:szCs w:val="20"/>
          <w:lang w:val="pt-BR"/>
        </w:rPr>
        <w:t xml:space="preserve"> </w:t>
      </w:r>
      <w:r w:rsidR="005814EB" w:rsidRPr="005814EB">
        <w:rPr>
          <w:rFonts w:ascii="Avenir Next" w:eastAsia="IBM Plex Sans" w:hAnsi="Avenir Next" w:cs="IBM Plex Sans"/>
          <w:color w:val="000000"/>
          <w:sz w:val="20"/>
          <w:szCs w:val="20"/>
          <w:lang w:val="pt-BR"/>
        </w:rPr>
        <w:t>notáveis</w:t>
      </w:r>
      <w:r w:rsidR="0075607E" w:rsidRPr="005814EB">
        <w:rPr>
          <w:rFonts w:ascii="Avenir Next" w:eastAsia="IBM Plex Sans" w:hAnsi="Avenir Next" w:cs="IBM Plex Sans"/>
          <w:color w:val="000000"/>
          <w:sz w:val="20"/>
          <w:szCs w:val="20"/>
          <w:lang w:val="pt-BR"/>
        </w:rPr>
        <w:t xml:space="preserve"> que precisam ser abordadas para garantir plena conformidade. </w:t>
      </w:r>
    </w:p>
    <w:p w14:paraId="6EA90AC6" w14:textId="248345ED" w:rsidR="00A41F90" w:rsidRPr="005814EB" w:rsidRDefault="00EB6B11" w:rsidP="00A41F90">
      <w:pPr>
        <w:pStyle w:val="ListParagraph"/>
        <w:numPr>
          <w:ilvl w:val="0"/>
          <w:numId w:val="18"/>
        </w:num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color w:val="000000"/>
          <w:sz w:val="20"/>
          <w:szCs w:val="20"/>
          <w:lang w:val="pt-BR"/>
        </w:rPr>
        <w:t xml:space="preserve"> </w:t>
      </w:r>
      <w:r w:rsidR="0075607E" w:rsidRPr="005814EB">
        <w:rPr>
          <w:rFonts w:ascii="Avenir Next" w:hAnsi="Avenir Next"/>
          <w:color w:val="000000"/>
          <w:sz w:val="20"/>
          <w:szCs w:val="20"/>
          <w:lang w:val="pt-BR"/>
        </w:rPr>
        <w:t>Constatações: uma oportunidade para os usuários oferecerem informações e/ou esclarecimentos em relação à sua pontuação.</w:t>
      </w:r>
    </w:p>
    <w:p w14:paraId="1E605438" w14:textId="54BE42FC" w:rsidR="00EB6B11" w:rsidRPr="005814EB" w:rsidRDefault="00070B02" w:rsidP="00A41F90">
      <w:pPr>
        <w:pStyle w:val="ListParagraph"/>
        <w:numPr>
          <w:ilvl w:val="0"/>
          <w:numId w:val="18"/>
        </w:numPr>
        <w:spacing w:before="120" w:after="120" w:line="336" w:lineRule="auto"/>
        <w:rPr>
          <w:rFonts w:ascii="Avenir Next" w:eastAsia="IBM Plex Sans" w:hAnsi="Avenir Next" w:cs="IBM Plex Sans"/>
          <w:color w:val="000000"/>
          <w:sz w:val="20"/>
          <w:szCs w:val="20"/>
          <w:lang w:val="pt-BR"/>
        </w:rPr>
        <w:sectPr w:rsidR="00EB6B11" w:rsidRPr="005814EB" w:rsidSect="00DB7493">
          <w:pgSz w:w="11910" w:h="16845"/>
          <w:pgMar w:top="1440" w:right="1440" w:bottom="1440" w:left="1440" w:header="720" w:footer="720" w:gutter="0"/>
          <w:cols w:space="720"/>
        </w:sectPr>
      </w:pPr>
      <w:r w:rsidRPr="005814EB">
        <w:rPr>
          <w:rFonts w:ascii="Avenir Next" w:hAnsi="Avenir Next"/>
          <w:color w:val="000000"/>
          <w:sz w:val="20"/>
          <w:szCs w:val="20"/>
          <w:lang w:val="pt-BR"/>
        </w:rPr>
        <w:t>Meios de verificação: os usuários devem identificar qualquer documentação usada para apoiar sua pontuação, incluindo hiperlinks com informações adicionais.</w:t>
      </w:r>
    </w:p>
    <w:p w14:paraId="3AA2CDE5" w14:textId="04CC26FD" w:rsidR="00EB6B11" w:rsidRPr="005814EB" w:rsidRDefault="005814EB" w:rsidP="00EB6B11">
      <w:pPr>
        <w:spacing w:before="120" w:after="120" w:line="336" w:lineRule="auto"/>
        <w:rPr>
          <w:rFonts w:ascii="Bodoni 72 Book" w:hAnsi="Bodoni 72 Book"/>
          <w:lang w:val="pt-BR"/>
        </w:rPr>
      </w:pPr>
      <w:r w:rsidRPr="005814EB">
        <w:rPr>
          <w:rFonts w:ascii="Bodoni 72 Book" w:eastAsia="Montserrat" w:hAnsi="Bodoni 72 Book" w:cs="Montserrat"/>
          <w:color w:val="0D666D"/>
          <w:sz w:val="64"/>
          <w:szCs w:val="64"/>
          <w:lang w:val="pt-BR"/>
        </w:rPr>
        <w:lastRenderedPageBreak/>
        <w:t>Questionário</w:t>
      </w:r>
    </w:p>
    <w:p w14:paraId="12C1AC6D" w14:textId="77777777" w:rsidR="00EB6B11" w:rsidRPr="005814EB" w:rsidRDefault="00EB6B11" w:rsidP="00EB6B11">
      <w:pPr>
        <w:pBdr>
          <w:bottom w:val="single" w:sz="6" w:space="0" w:color="076C72"/>
        </w:pBdr>
        <w:spacing w:before="120" w:after="120" w:line="0" w:lineRule="auto"/>
        <w:rPr>
          <w:lang w:val="pt-BR"/>
        </w:rPr>
      </w:pPr>
    </w:p>
    <w:p w14:paraId="2B008A18" w14:textId="77777777" w:rsidR="00EB6B11" w:rsidRPr="005814EB" w:rsidRDefault="00EB6B11" w:rsidP="00EB6B11">
      <w:pPr>
        <w:spacing w:before="120" w:after="120" w:line="336" w:lineRule="auto"/>
        <w:rPr>
          <w:rFonts w:ascii="Avenir Next" w:eastAsia="IBM Plex Sans" w:hAnsi="Avenir Next" w:cs="IBM Plex Sans"/>
          <w:color w:val="00646A"/>
          <w:sz w:val="20"/>
          <w:szCs w:val="20"/>
          <w:lang w:val="pt-BR"/>
        </w:rPr>
      </w:pPr>
    </w:p>
    <w:tbl>
      <w:tblPr>
        <w:tblStyle w:val="TableGrid"/>
        <w:tblW w:w="14312" w:type="dxa"/>
        <w:tblBorders>
          <w:top w:val="single" w:sz="6" w:space="0" w:color="00626A"/>
          <w:left w:val="single" w:sz="6" w:space="0" w:color="00626A"/>
          <w:bottom w:val="single" w:sz="6" w:space="0" w:color="00626A"/>
          <w:right w:val="single" w:sz="6" w:space="0" w:color="00626A"/>
          <w:insideH w:val="single" w:sz="6" w:space="0" w:color="00626A"/>
          <w:insideV w:val="single" w:sz="6" w:space="0" w:color="00626A"/>
        </w:tblBorders>
        <w:tblLook w:val="04A0" w:firstRow="1" w:lastRow="0" w:firstColumn="1" w:lastColumn="0" w:noHBand="0" w:noVBand="1"/>
      </w:tblPr>
      <w:tblGrid>
        <w:gridCol w:w="4205"/>
        <w:gridCol w:w="2293"/>
        <w:gridCol w:w="4291"/>
        <w:gridCol w:w="3523"/>
      </w:tblGrid>
      <w:tr w:rsidR="00EB6B11" w:rsidRPr="005D0DB2" w14:paraId="4DAF2AB5" w14:textId="77777777" w:rsidTr="00346C6B">
        <w:trPr>
          <w:trHeight w:val="759"/>
        </w:trPr>
        <w:tc>
          <w:tcPr>
            <w:tcW w:w="14312" w:type="dxa"/>
            <w:gridSpan w:val="4"/>
            <w:shd w:val="clear" w:color="auto" w:fill="02636A"/>
            <w:vAlign w:val="center"/>
          </w:tcPr>
          <w:p w14:paraId="0CEF26C6" w14:textId="44B5D87F" w:rsidR="00EB6B11" w:rsidRPr="005D0DB2" w:rsidRDefault="005814EB" w:rsidP="00346C6B">
            <w:pPr>
              <w:widowControl w:val="0"/>
              <w:autoSpaceDE w:val="0"/>
              <w:autoSpaceDN w:val="0"/>
              <w:spacing w:before="67"/>
              <w:rPr>
                <w:rFonts w:ascii="Avenir Next" w:hAnsi="Avenir Next"/>
                <w:color w:val="FFFFFF" w:themeColor="background1"/>
                <w:sz w:val="22"/>
                <w:szCs w:val="22"/>
                <w:lang w:val="pt-BR"/>
              </w:rPr>
            </w:pPr>
            <w:r w:rsidRPr="005D0DB2">
              <w:rPr>
                <w:rFonts w:ascii="Avenir Next Ultra Light" w:hAnsi="Avenir Next Ultra Light"/>
                <w:b/>
                <w:bCs/>
                <w:color w:val="FFFFFF" w:themeColor="background1"/>
                <w:sz w:val="22"/>
                <w:szCs w:val="22"/>
                <w:lang w:val="pt-BR"/>
              </w:rPr>
              <w:t>Impulsionado</w:t>
            </w:r>
            <w:r w:rsidR="00EB6B11" w:rsidRPr="005D0DB2">
              <w:rPr>
                <w:rFonts w:ascii="Avenir Next Ultra Light" w:hAnsi="Avenir Next Ultra Light"/>
                <w:b/>
                <w:bCs/>
                <w:color w:val="FFFFFF" w:themeColor="background1"/>
                <w:sz w:val="22"/>
                <w:szCs w:val="22"/>
                <w:lang w:val="pt-BR"/>
              </w:rPr>
              <w:t xml:space="preserve"> </w:t>
            </w:r>
            <w:r w:rsidRPr="005D0DB2">
              <w:rPr>
                <w:rFonts w:ascii="Avenir Next Ultra Light" w:hAnsi="Avenir Next Ultra Light"/>
                <w:b/>
                <w:bCs/>
                <w:color w:val="FFFFFF" w:themeColor="background1"/>
                <w:sz w:val="22"/>
                <w:szCs w:val="22"/>
                <w:lang w:val="pt-BR"/>
              </w:rPr>
              <w:t>pelo</w:t>
            </w:r>
            <w:r w:rsidR="00EB6B11" w:rsidRPr="005D0DB2">
              <w:rPr>
                <w:rFonts w:ascii="Avenir Next Ultra Light" w:hAnsi="Avenir Next Ultra Light"/>
                <w:b/>
                <w:bCs/>
                <w:color w:val="FFFFFF" w:themeColor="background1"/>
                <w:sz w:val="22"/>
                <w:szCs w:val="22"/>
                <w:lang w:val="pt-BR"/>
              </w:rPr>
              <w:t xml:space="preserve"> país:</w:t>
            </w:r>
            <w:r w:rsidR="00EB6B11" w:rsidRPr="005D0DB2">
              <w:rPr>
                <w:rFonts w:ascii="Avenir Next" w:hAnsi="Avenir Next"/>
                <w:b/>
                <w:bCs/>
                <w:color w:val="FFFFFF" w:themeColor="background1"/>
                <w:sz w:val="22"/>
                <w:szCs w:val="22"/>
                <w:lang w:val="pt-BR"/>
              </w:rPr>
              <w:t xml:space="preserve"> </w:t>
            </w:r>
            <w:r w:rsidRPr="005D0DB2">
              <w:rPr>
                <w:rFonts w:ascii="Avenir Next Ultra Light" w:hAnsi="Avenir Next Ultra Light"/>
                <w:color w:val="FFFFFF" w:themeColor="background1"/>
                <w:sz w:val="22"/>
                <w:szCs w:val="22"/>
                <w:lang w:val="pt-BR"/>
              </w:rPr>
              <w:t>O SIS é consistente com a soberania nacional, legislação nacional e circunstâncias nacionais, incluindo a construção sobre sistemas e arranjos institucionais relevantes</w:t>
            </w:r>
            <w:r w:rsidR="00A47EBE" w:rsidRPr="005D0DB2">
              <w:rPr>
                <w:rFonts w:ascii="Avenir Next Ultra Light" w:hAnsi="Avenir Next Ultra Light"/>
                <w:color w:val="FFFFFF" w:themeColor="background1"/>
                <w:sz w:val="22"/>
                <w:szCs w:val="22"/>
                <w:lang w:val="pt-BR"/>
              </w:rPr>
              <w:t>.</w:t>
            </w:r>
            <w:r w:rsidR="00EB6B11" w:rsidRPr="005D0DB2">
              <w:rPr>
                <w:rStyle w:val="FootnoteReference"/>
                <w:rFonts w:ascii="Avenir Next Ultra Light" w:hAnsi="Avenir Next Ultra Light"/>
                <w:color w:val="FFFFFF" w:themeColor="background1"/>
                <w:sz w:val="22"/>
                <w:szCs w:val="22"/>
                <w:lang w:val="pt-BR"/>
              </w:rPr>
              <w:footnoteReference w:id="4"/>
            </w:r>
            <w:r w:rsidR="00EB6B11" w:rsidRPr="005D0DB2">
              <w:rPr>
                <w:rFonts w:ascii="Avenir Next Ultra Light" w:hAnsi="Avenir Next Ultra Light"/>
                <w:color w:val="FFFFFF" w:themeColor="background1"/>
                <w:sz w:val="22"/>
                <w:szCs w:val="22"/>
                <w:lang w:val="pt-BR"/>
              </w:rPr>
              <w:t xml:space="preserve"> </w:t>
            </w:r>
            <w:r w:rsidR="00EB6B11" w:rsidRPr="005D0DB2">
              <w:rPr>
                <w:rFonts w:ascii="Avenir Next Ultra Light" w:hAnsi="Avenir Next Ultra Light"/>
                <w:color w:val="FFFFFF" w:themeColor="background1"/>
                <w:sz w:val="22"/>
                <w:szCs w:val="22"/>
                <w:vertAlign w:val="superscript"/>
                <w:lang w:val="pt-BR"/>
              </w:rPr>
              <w:footnoteReference w:id="5"/>
            </w:r>
            <w:r w:rsidR="00EB6B11" w:rsidRPr="005D0DB2">
              <w:rPr>
                <w:rFonts w:ascii="Avenir Next" w:hAnsi="Avenir Next"/>
                <w:b/>
                <w:bCs/>
                <w:color w:val="FFFFFF" w:themeColor="background1"/>
                <w:sz w:val="22"/>
                <w:szCs w:val="22"/>
                <w:lang w:val="pt-BR"/>
              </w:rPr>
              <w:t xml:space="preserve"> </w:t>
            </w:r>
          </w:p>
        </w:tc>
      </w:tr>
      <w:tr w:rsidR="00EB6B11" w:rsidRPr="005D0DB2" w14:paraId="3EEFF1D7" w14:textId="77777777" w:rsidTr="005814EB">
        <w:tc>
          <w:tcPr>
            <w:tcW w:w="4205" w:type="dxa"/>
            <w:shd w:val="clear" w:color="auto" w:fill="BDCEC9"/>
            <w:vAlign w:val="center"/>
          </w:tcPr>
          <w:p w14:paraId="5406451C" w14:textId="29B35ABD" w:rsidR="00EB6B11" w:rsidRPr="005D0DB2" w:rsidRDefault="005814EB" w:rsidP="00346C6B">
            <w:pPr>
              <w:jc w:val="center"/>
              <w:rPr>
                <w:rFonts w:ascii="Bodoni 72 Book" w:hAnsi="Bodoni 72 Book"/>
                <w:sz w:val="22"/>
                <w:szCs w:val="22"/>
                <w:lang w:val="pt-BR"/>
              </w:rPr>
            </w:pPr>
            <w:r w:rsidRPr="005D0DB2">
              <w:rPr>
                <w:rFonts w:ascii="Bodoni 72 Book" w:hAnsi="Bodoni 72 Book"/>
                <w:sz w:val="22"/>
                <w:szCs w:val="22"/>
                <w:lang w:val="pt-BR"/>
              </w:rPr>
              <w:t>Perguntas</w:t>
            </w:r>
          </w:p>
        </w:tc>
        <w:tc>
          <w:tcPr>
            <w:tcW w:w="2293" w:type="dxa"/>
            <w:shd w:val="clear" w:color="auto" w:fill="BDCEC9"/>
            <w:vAlign w:val="center"/>
          </w:tcPr>
          <w:p w14:paraId="0F961778" w14:textId="57E7D255" w:rsidR="00EB6B11" w:rsidRPr="005D0DB2" w:rsidRDefault="005814EB" w:rsidP="00346C6B">
            <w:pPr>
              <w:jc w:val="center"/>
              <w:rPr>
                <w:rFonts w:ascii="Bodoni 72 Book" w:hAnsi="Bodoni 72 Book"/>
                <w:sz w:val="22"/>
                <w:szCs w:val="22"/>
                <w:lang w:val="pt-BR"/>
              </w:rPr>
            </w:pPr>
            <w:r w:rsidRPr="005D0DB2">
              <w:rPr>
                <w:rFonts w:ascii="Bodoni 72 Book" w:hAnsi="Bodoni 72 Book"/>
                <w:sz w:val="22"/>
                <w:szCs w:val="22"/>
                <w:lang w:val="pt-BR"/>
              </w:rPr>
              <w:t>Pontuação</w:t>
            </w:r>
          </w:p>
          <w:p w14:paraId="0C0F1756" w14:textId="285402B7" w:rsidR="00EB6B11" w:rsidRPr="005D0DB2" w:rsidRDefault="00EB6B11" w:rsidP="00346C6B">
            <w:pPr>
              <w:jc w:val="center"/>
              <w:rPr>
                <w:rFonts w:ascii="Bodoni 72 Book" w:hAnsi="Bodoni 72 Book"/>
                <w:sz w:val="22"/>
                <w:szCs w:val="22"/>
                <w:lang w:val="pt-BR"/>
              </w:rPr>
            </w:pPr>
            <w:r w:rsidRPr="005D0DB2">
              <w:rPr>
                <w:rFonts w:ascii="Bodoni 72 Book" w:hAnsi="Bodoni 72 Book"/>
                <w:sz w:val="22"/>
                <w:szCs w:val="22"/>
                <w:lang w:val="pt-BR"/>
              </w:rPr>
              <w:t>(Si</w:t>
            </w:r>
            <w:r w:rsidR="005814EB" w:rsidRPr="005D0DB2">
              <w:rPr>
                <w:rFonts w:ascii="Bodoni 72 Book" w:hAnsi="Bodoni 72 Book"/>
                <w:sz w:val="22"/>
                <w:szCs w:val="22"/>
                <w:lang w:val="pt-BR"/>
              </w:rPr>
              <w:t>m</w:t>
            </w:r>
            <w:r w:rsidRPr="005D0DB2">
              <w:rPr>
                <w:rFonts w:ascii="Bodoni 72 Book" w:hAnsi="Bodoni 72 Book"/>
                <w:sz w:val="22"/>
                <w:szCs w:val="22"/>
                <w:lang w:val="pt-BR"/>
              </w:rPr>
              <w:t>/</w:t>
            </w:r>
            <w:r w:rsidR="005814EB" w:rsidRPr="005D0DB2">
              <w:rPr>
                <w:rFonts w:ascii="Bodoni 72 Book" w:hAnsi="Bodoni 72 Book"/>
                <w:sz w:val="22"/>
                <w:szCs w:val="22"/>
                <w:lang w:val="pt-BR"/>
              </w:rPr>
              <w:t>Não</w:t>
            </w:r>
            <w:r w:rsidRPr="005D0DB2">
              <w:rPr>
                <w:rFonts w:ascii="Bodoni 72 Book" w:hAnsi="Bodoni 72 Book"/>
                <w:sz w:val="22"/>
                <w:szCs w:val="22"/>
                <w:lang w:val="pt-BR"/>
              </w:rPr>
              <w:t>/Parcialmente)</w:t>
            </w:r>
          </w:p>
        </w:tc>
        <w:tc>
          <w:tcPr>
            <w:tcW w:w="4291" w:type="dxa"/>
            <w:shd w:val="clear" w:color="auto" w:fill="BDCEC9"/>
            <w:vAlign w:val="center"/>
          </w:tcPr>
          <w:p w14:paraId="39FEEF52" w14:textId="307A2E06" w:rsidR="00EB6B11" w:rsidRPr="005D0DB2" w:rsidRDefault="005814EB" w:rsidP="00346C6B">
            <w:pPr>
              <w:jc w:val="center"/>
              <w:rPr>
                <w:rFonts w:ascii="Bodoni 72 Book" w:hAnsi="Bodoni 72 Book"/>
                <w:sz w:val="22"/>
                <w:szCs w:val="22"/>
                <w:lang w:val="pt-BR"/>
              </w:rPr>
            </w:pPr>
            <w:r w:rsidRPr="005D0DB2">
              <w:rPr>
                <w:rFonts w:ascii="Bodoni 72 Book" w:hAnsi="Bodoni 72 Book"/>
                <w:sz w:val="22"/>
                <w:szCs w:val="22"/>
                <w:lang w:val="pt-BR"/>
              </w:rPr>
              <w:t>Constatações</w:t>
            </w:r>
          </w:p>
        </w:tc>
        <w:tc>
          <w:tcPr>
            <w:tcW w:w="3523" w:type="dxa"/>
            <w:shd w:val="clear" w:color="auto" w:fill="BDCEC9"/>
            <w:vAlign w:val="center"/>
          </w:tcPr>
          <w:p w14:paraId="042FF5A8" w14:textId="1BCE322B" w:rsidR="00EB6B11" w:rsidRPr="005D0DB2" w:rsidRDefault="00EB6B11" w:rsidP="00346C6B">
            <w:pPr>
              <w:jc w:val="center"/>
              <w:rPr>
                <w:rFonts w:ascii="Bodoni 72 Book" w:hAnsi="Bodoni 72 Book"/>
                <w:sz w:val="22"/>
                <w:szCs w:val="22"/>
                <w:lang w:val="pt-BR"/>
              </w:rPr>
            </w:pPr>
            <w:r w:rsidRPr="005D0DB2">
              <w:rPr>
                <w:rFonts w:ascii="Bodoni 72 Book" w:hAnsi="Bodoni 72 Book"/>
                <w:sz w:val="22"/>
                <w:szCs w:val="22"/>
                <w:lang w:val="pt-BR"/>
              </w:rPr>
              <w:t xml:space="preserve">Meios de </w:t>
            </w:r>
            <w:r w:rsidR="005814EB" w:rsidRPr="005D0DB2">
              <w:rPr>
                <w:rFonts w:ascii="Bodoni 72 Book" w:hAnsi="Bodoni 72 Book"/>
                <w:sz w:val="22"/>
                <w:szCs w:val="22"/>
                <w:lang w:val="pt-BR"/>
              </w:rPr>
              <w:t>verificação</w:t>
            </w:r>
          </w:p>
        </w:tc>
      </w:tr>
      <w:tr w:rsidR="00EB6B11" w:rsidRPr="005D0DB2" w14:paraId="48AF4F9D" w14:textId="77777777" w:rsidTr="005814EB">
        <w:tc>
          <w:tcPr>
            <w:tcW w:w="4205" w:type="dxa"/>
          </w:tcPr>
          <w:p w14:paraId="161DADB5" w14:textId="7EC9EB1C" w:rsidR="00EB6B11" w:rsidRPr="005D0DB2" w:rsidRDefault="005814EB" w:rsidP="00EB6B11">
            <w:pPr>
              <w:pStyle w:val="ListParagraph"/>
              <w:numPr>
                <w:ilvl w:val="0"/>
                <w:numId w:val="15"/>
              </w:numPr>
              <w:rPr>
                <w:rFonts w:ascii="Avenir Next" w:hAnsi="Avenir Next"/>
                <w:b/>
                <w:bCs/>
                <w:sz w:val="20"/>
                <w:szCs w:val="20"/>
                <w:lang w:val="pt-BR"/>
              </w:rPr>
            </w:pPr>
            <w:r w:rsidRPr="005D0DB2">
              <w:rPr>
                <w:rFonts w:ascii="Avenir Next" w:hAnsi="Avenir Next"/>
                <w:color w:val="000000"/>
                <w:sz w:val="20"/>
                <w:szCs w:val="20"/>
                <w:lang w:val="pt-BR"/>
              </w:rPr>
              <w:t>O SIS (ou equivalente) determina seus objetivos e como eles estão alinhados com prioridades e compromissos domésticos?</w:t>
            </w:r>
          </w:p>
          <w:p w14:paraId="0B9DC21D" w14:textId="77777777" w:rsidR="00EB6B11" w:rsidRPr="005D0DB2" w:rsidRDefault="00EB6B11" w:rsidP="00CE0AF6">
            <w:pPr>
              <w:pStyle w:val="ListParagraph"/>
              <w:rPr>
                <w:rFonts w:ascii="Avenir Next" w:hAnsi="Avenir Next"/>
                <w:b/>
                <w:bCs/>
                <w:sz w:val="20"/>
                <w:szCs w:val="20"/>
                <w:lang w:val="pt-BR"/>
              </w:rPr>
            </w:pPr>
          </w:p>
        </w:tc>
        <w:tc>
          <w:tcPr>
            <w:tcW w:w="2293" w:type="dxa"/>
          </w:tcPr>
          <w:p w14:paraId="3E2C7F58" w14:textId="77777777" w:rsidR="00EB6B11" w:rsidRPr="005D0DB2" w:rsidRDefault="00EB6B11" w:rsidP="00CE0AF6">
            <w:pPr>
              <w:jc w:val="center"/>
              <w:rPr>
                <w:rFonts w:ascii="Avenir Next" w:hAnsi="Avenir Next"/>
                <w:b/>
                <w:bCs/>
                <w:sz w:val="20"/>
                <w:szCs w:val="20"/>
                <w:lang w:val="pt-BR"/>
              </w:rPr>
            </w:pPr>
          </w:p>
        </w:tc>
        <w:tc>
          <w:tcPr>
            <w:tcW w:w="4291" w:type="dxa"/>
          </w:tcPr>
          <w:p w14:paraId="4C1E1E45" w14:textId="77777777" w:rsidR="00EB6B11" w:rsidRPr="005D0DB2" w:rsidRDefault="00EB6B11" w:rsidP="00CE0AF6">
            <w:pPr>
              <w:jc w:val="center"/>
              <w:rPr>
                <w:rFonts w:ascii="Avenir Next" w:hAnsi="Avenir Next"/>
                <w:b/>
                <w:bCs/>
                <w:sz w:val="20"/>
                <w:szCs w:val="20"/>
                <w:lang w:val="pt-BR"/>
              </w:rPr>
            </w:pPr>
          </w:p>
        </w:tc>
        <w:tc>
          <w:tcPr>
            <w:tcW w:w="3523" w:type="dxa"/>
          </w:tcPr>
          <w:p w14:paraId="3A7C2BF6" w14:textId="77777777" w:rsidR="00EB6B11" w:rsidRPr="005D0DB2" w:rsidRDefault="00EB6B11" w:rsidP="00CE0AF6">
            <w:pPr>
              <w:jc w:val="center"/>
              <w:rPr>
                <w:rFonts w:ascii="Avenir Next" w:hAnsi="Avenir Next"/>
                <w:b/>
                <w:bCs/>
                <w:sz w:val="20"/>
                <w:szCs w:val="20"/>
                <w:lang w:val="pt-BR"/>
              </w:rPr>
            </w:pPr>
          </w:p>
        </w:tc>
      </w:tr>
      <w:tr w:rsidR="00EB6B11" w:rsidRPr="005D0DB2" w14:paraId="716475D4" w14:textId="77777777" w:rsidTr="005814EB">
        <w:tc>
          <w:tcPr>
            <w:tcW w:w="4205" w:type="dxa"/>
          </w:tcPr>
          <w:p w14:paraId="088E0C4F" w14:textId="5A9CB7D9" w:rsidR="00EB6B11" w:rsidRPr="005D0DB2" w:rsidRDefault="005814EB"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determina as funções do SIS e como essas funções serão realizadas?</w:t>
            </w:r>
          </w:p>
          <w:p w14:paraId="4C7AF71C" w14:textId="77777777" w:rsidR="00EB6B11" w:rsidRPr="005D0DB2" w:rsidRDefault="00EB6B11" w:rsidP="00CE0AF6">
            <w:pPr>
              <w:pStyle w:val="ListParagraph"/>
              <w:rPr>
                <w:rFonts w:ascii="Avenir Next" w:hAnsi="Avenir Next"/>
                <w:sz w:val="20"/>
                <w:szCs w:val="20"/>
                <w:lang w:val="pt-BR"/>
              </w:rPr>
            </w:pPr>
          </w:p>
        </w:tc>
        <w:tc>
          <w:tcPr>
            <w:tcW w:w="2293" w:type="dxa"/>
          </w:tcPr>
          <w:p w14:paraId="2466C0CB" w14:textId="77777777" w:rsidR="00EB6B11" w:rsidRPr="005D0DB2" w:rsidRDefault="00EB6B11" w:rsidP="00CE0AF6">
            <w:pPr>
              <w:jc w:val="center"/>
              <w:rPr>
                <w:rFonts w:ascii="Avenir Next" w:hAnsi="Avenir Next"/>
                <w:b/>
                <w:bCs/>
                <w:sz w:val="20"/>
                <w:szCs w:val="20"/>
                <w:lang w:val="pt-BR"/>
              </w:rPr>
            </w:pPr>
          </w:p>
        </w:tc>
        <w:tc>
          <w:tcPr>
            <w:tcW w:w="4291" w:type="dxa"/>
          </w:tcPr>
          <w:p w14:paraId="14FEFA80" w14:textId="77777777" w:rsidR="00EB6B11" w:rsidRPr="005D0DB2" w:rsidRDefault="00EB6B11" w:rsidP="00CE0AF6">
            <w:pPr>
              <w:jc w:val="center"/>
              <w:rPr>
                <w:rFonts w:ascii="Avenir Next" w:hAnsi="Avenir Next"/>
                <w:b/>
                <w:bCs/>
                <w:sz w:val="20"/>
                <w:szCs w:val="20"/>
                <w:lang w:val="pt-BR"/>
              </w:rPr>
            </w:pPr>
          </w:p>
        </w:tc>
        <w:tc>
          <w:tcPr>
            <w:tcW w:w="3523" w:type="dxa"/>
          </w:tcPr>
          <w:p w14:paraId="14DCB04F" w14:textId="77777777" w:rsidR="00EB6B11" w:rsidRPr="005D0DB2" w:rsidRDefault="00EB6B11" w:rsidP="00CE0AF6">
            <w:pPr>
              <w:jc w:val="center"/>
              <w:rPr>
                <w:rFonts w:ascii="Avenir Next" w:hAnsi="Avenir Next"/>
                <w:b/>
                <w:bCs/>
                <w:sz w:val="20"/>
                <w:szCs w:val="20"/>
                <w:lang w:val="pt-BR"/>
              </w:rPr>
            </w:pPr>
          </w:p>
        </w:tc>
      </w:tr>
      <w:tr w:rsidR="00EB6B11" w:rsidRPr="005D0DB2" w14:paraId="5494FDAE" w14:textId="77777777" w:rsidTr="005814EB">
        <w:tc>
          <w:tcPr>
            <w:tcW w:w="4205" w:type="dxa"/>
          </w:tcPr>
          <w:p w14:paraId="36092985" w14:textId="1C807015" w:rsidR="00EB6B11" w:rsidRPr="005D0DB2" w:rsidRDefault="005814EB"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determina função(</w:t>
            </w:r>
            <w:proofErr w:type="spellStart"/>
            <w:r w:rsidRPr="005D0DB2">
              <w:rPr>
                <w:rFonts w:ascii="Avenir Next" w:hAnsi="Avenir Next"/>
                <w:color w:val="000000"/>
                <w:sz w:val="20"/>
                <w:szCs w:val="20"/>
                <w:lang w:val="pt-BR"/>
              </w:rPr>
              <w:t>ões</w:t>
            </w:r>
            <w:proofErr w:type="spellEnd"/>
            <w:r w:rsidRPr="005D0DB2">
              <w:rPr>
                <w:rFonts w:ascii="Avenir Next" w:hAnsi="Avenir Next"/>
                <w:color w:val="000000"/>
                <w:sz w:val="20"/>
                <w:szCs w:val="20"/>
                <w:lang w:val="pt-BR"/>
              </w:rPr>
              <w:t>) e/ou processos para garantir a qualidade, precisão e abrangência das informações coletadas e fornecidas pelo SIS?</w:t>
            </w:r>
          </w:p>
          <w:p w14:paraId="188AB58D" w14:textId="77777777" w:rsidR="00EB6B11" w:rsidRPr="005D0DB2" w:rsidRDefault="00EB6B11" w:rsidP="00CE0AF6">
            <w:pPr>
              <w:pStyle w:val="ListParagraph"/>
              <w:rPr>
                <w:rFonts w:ascii="Avenir Next" w:hAnsi="Avenir Next"/>
                <w:sz w:val="20"/>
                <w:szCs w:val="20"/>
                <w:lang w:val="pt-BR"/>
              </w:rPr>
            </w:pPr>
          </w:p>
        </w:tc>
        <w:tc>
          <w:tcPr>
            <w:tcW w:w="2293" w:type="dxa"/>
          </w:tcPr>
          <w:p w14:paraId="1C639AB9" w14:textId="77777777" w:rsidR="00EB6B11" w:rsidRPr="005D0DB2" w:rsidRDefault="00EB6B11" w:rsidP="00CE0AF6">
            <w:pPr>
              <w:jc w:val="center"/>
              <w:rPr>
                <w:rFonts w:ascii="Avenir Next" w:hAnsi="Avenir Next"/>
                <w:b/>
                <w:bCs/>
                <w:sz w:val="20"/>
                <w:szCs w:val="20"/>
                <w:lang w:val="pt-BR"/>
              </w:rPr>
            </w:pPr>
          </w:p>
        </w:tc>
        <w:tc>
          <w:tcPr>
            <w:tcW w:w="4291" w:type="dxa"/>
          </w:tcPr>
          <w:p w14:paraId="34335D09" w14:textId="77777777" w:rsidR="00EB6B11" w:rsidRPr="005D0DB2" w:rsidRDefault="00EB6B11" w:rsidP="00CE0AF6">
            <w:pPr>
              <w:jc w:val="center"/>
              <w:rPr>
                <w:rFonts w:ascii="Avenir Next" w:hAnsi="Avenir Next"/>
                <w:b/>
                <w:bCs/>
                <w:sz w:val="20"/>
                <w:szCs w:val="20"/>
                <w:lang w:val="pt-BR"/>
              </w:rPr>
            </w:pPr>
          </w:p>
        </w:tc>
        <w:tc>
          <w:tcPr>
            <w:tcW w:w="3523" w:type="dxa"/>
          </w:tcPr>
          <w:p w14:paraId="3184F418" w14:textId="77777777" w:rsidR="00EB6B11" w:rsidRPr="005D0DB2" w:rsidRDefault="00EB6B11" w:rsidP="00CE0AF6">
            <w:pPr>
              <w:jc w:val="center"/>
              <w:rPr>
                <w:rFonts w:ascii="Avenir Next" w:hAnsi="Avenir Next"/>
                <w:b/>
                <w:bCs/>
                <w:sz w:val="20"/>
                <w:szCs w:val="20"/>
                <w:lang w:val="pt-BR"/>
              </w:rPr>
            </w:pPr>
          </w:p>
        </w:tc>
      </w:tr>
      <w:tr w:rsidR="00EB6B11" w:rsidRPr="005D0DB2" w14:paraId="0FADD2E6" w14:textId="77777777" w:rsidTr="005814EB">
        <w:tc>
          <w:tcPr>
            <w:tcW w:w="4205" w:type="dxa"/>
          </w:tcPr>
          <w:p w14:paraId="72D4E88E" w14:textId="26B9C3F0" w:rsidR="00EB6B11" w:rsidRPr="005D0DB2" w:rsidRDefault="00A47EBE"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 xml:space="preserve">O SIS (ou equivalente) determina “quem” estará envolvido na operação do SIS? [define quem </w:t>
            </w:r>
            <w:r w:rsidRPr="005D0DB2">
              <w:rPr>
                <w:rFonts w:ascii="Avenir Next" w:hAnsi="Avenir Next"/>
                <w:color w:val="000000"/>
                <w:sz w:val="20"/>
                <w:szCs w:val="20"/>
                <w:lang w:val="pt-BR"/>
              </w:rPr>
              <w:lastRenderedPageBreak/>
              <w:t>estará envolvido, seja uma única instituição governamental e/ou uma combinação de atores governamentais e não governamentais]</w:t>
            </w:r>
          </w:p>
          <w:p w14:paraId="6CEA8273" w14:textId="77777777" w:rsidR="00EB6B11" w:rsidRPr="005D0DB2" w:rsidRDefault="00EB6B11" w:rsidP="00CE0AF6">
            <w:pPr>
              <w:pStyle w:val="ListParagraph"/>
              <w:rPr>
                <w:rFonts w:ascii="Avenir Next" w:hAnsi="Avenir Next"/>
                <w:sz w:val="20"/>
                <w:szCs w:val="20"/>
                <w:lang w:val="pt-BR"/>
              </w:rPr>
            </w:pPr>
          </w:p>
        </w:tc>
        <w:tc>
          <w:tcPr>
            <w:tcW w:w="2293" w:type="dxa"/>
          </w:tcPr>
          <w:p w14:paraId="7B9B6125" w14:textId="77777777" w:rsidR="00EB6B11" w:rsidRPr="005D0DB2" w:rsidRDefault="00EB6B11" w:rsidP="00CE0AF6">
            <w:pPr>
              <w:jc w:val="center"/>
              <w:rPr>
                <w:rFonts w:ascii="Avenir Next" w:hAnsi="Avenir Next"/>
                <w:b/>
                <w:bCs/>
                <w:sz w:val="20"/>
                <w:szCs w:val="20"/>
                <w:lang w:val="pt-BR"/>
              </w:rPr>
            </w:pPr>
          </w:p>
        </w:tc>
        <w:tc>
          <w:tcPr>
            <w:tcW w:w="4291" w:type="dxa"/>
          </w:tcPr>
          <w:p w14:paraId="12EAD3E3" w14:textId="77777777" w:rsidR="00EB6B11" w:rsidRPr="005D0DB2" w:rsidRDefault="00EB6B11" w:rsidP="00CE0AF6">
            <w:pPr>
              <w:jc w:val="center"/>
              <w:rPr>
                <w:rFonts w:ascii="Avenir Next" w:hAnsi="Avenir Next"/>
                <w:b/>
                <w:bCs/>
                <w:sz w:val="20"/>
                <w:szCs w:val="20"/>
                <w:lang w:val="pt-BR"/>
              </w:rPr>
            </w:pPr>
          </w:p>
        </w:tc>
        <w:tc>
          <w:tcPr>
            <w:tcW w:w="3523" w:type="dxa"/>
          </w:tcPr>
          <w:p w14:paraId="55CF604A" w14:textId="77777777" w:rsidR="00EB6B11" w:rsidRPr="005D0DB2" w:rsidRDefault="00EB6B11" w:rsidP="00CE0AF6">
            <w:pPr>
              <w:jc w:val="center"/>
              <w:rPr>
                <w:rFonts w:ascii="Avenir Next" w:hAnsi="Avenir Next"/>
                <w:b/>
                <w:bCs/>
                <w:sz w:val="20"/>
                <w:szCs w:val="20"/>
                <w:lang w:val="pt-BR"/>
              </w:rPr>
            </w:pPr>
          </w:p>
        </w:tc>
      </w:tr>
      <w:tr w:rsidR="00EB6B11" w:rsidRPr="005D0DB2" w14:paraId="3AD97ECB" w14:textId="77777777" w:rsidTr="005814EB">
        <w:tc>
          <w:tcPr>
            <w:tcW w:w="4205" w:type="dxa"/>
          </w:tcPr>
          <w:p w14:paraId="1A807722" w14:textId="018DCBF4" w:rsidR="00EB6B11" w:rsidRPr="005D0DB2" w:rsidRDefault="00A47EBE"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SIS (ou equivalente) determina ‘quem’ realizará as diferentes funções do SIS?</w:t>
            </w:r>
          </w:p>
          <w:p w14:paraId="4D6701F5" w14:textId="77777777" w:rsidR="00EB6B11" w:rsidRPr="005D0DB2" w:rsidRDefault="00EB6B11" w:rsidP="00CE0AF6">
            <w:pPr>
              <w:pStyle w:val="ListParagraph"/>
              <w:rPr>
                <w:rFonts w:ascii="Avenir Next" w:hAnsi="Avenir Next"/>
                <w:sz w:val="20"/>
                <w:szCs w:val="20"/>
                <w:lang w:val="pt-BR"/>
              </w:rPr>
            </w:pPr>
          </w:p>
        </w:tc>
        <w:tc>
          <w:tcPr>
            <w:tcW w:w="2293" w:type="dxa"/>
          </w:tcPr>
          <w:p w14:paraId="03C2ED19" w14:textId="77777777" w:rsidR="00EB6B11" w:rsidRPr="005D0DB2" w:rsidRDefault="00EB6B11" w:rsidP="00CE0AF6">
            <w:pPr>
              <w:jc w:val="center"/>
              <w:rPr>
                <w:rFonts w:ascii="Avenir Next" w:hAnsi="Avenir Next"/>
                <w:b/>
                <w:bCs/>
                <w:sz w:val="20"/>
                <w:szCs w:val="20"/>
                <w:lang w:val="pt-BR"/>
              </w:rPr>
            </w:pPr>
          </w:p>
        </w:tc>
        <w:tc>
          <w:tcPr>
            <w:tcW w:w="4291" w:type="dxa"/>
          </w:tcPr>
          <w:p w14:paraId="680E8A6F" w14:textId="77777777" w:rsidR="00EB6B11" w:rsidRPr="005D0DB2" w:rsidRDefault="00EB6B11" w:rsidP="00CE0AF6">
            <w:pPr>
              <w:jc w:val="center"/>
              <w:rPr>
                <w:rFonts w:ascii="Avenir Next" w:hAnsi="Avenir Next"/>
                <w:b/>
                <w:bCs/>
                <w:sz w:val="20"/>
                <w:szCs w:val="20"/>
                <w:lang w:val="pt-BR"/>
              </w:rPr>
            </w:pPr>
          </w:p>
        </w:tc>
        <w:tc>
          <w:tcPr>
            <w:tcW w:w="3523" w:type="dxa"/>
          </w:tcPr>
          <w:p w14:paraId="10E1A090" w14:textId="77777777" w:rsidR="00EB6B11" w:rsidRPr="005D0DB2" w:rsidRDefault="00EB6B11" w:rsidP="00CE0AF6">
            <w:pPr>
              <w:jc w:val="center"/>
              <w:rPr>
                <w:rFonts w:ascii="Avenir Next" w:hAnsi="Avenir Next"/>
                <w:b/>
                <w:bCs/>
                <w:sz w:val="20"/>
                <w:szCs w:val="20"/>
                <w:lang w:val="pt-BR"/>
              </w:rPr>
            </w:pPr>
          </w:p>
        </w:tc>
      </w:tr>
      <w:tr w:rsidR="00EB6B11" w:rsidRPr="005D0DB2" w14:paraId="4D8440CB" w14:textId="77777777" w:rsidTr="00346C6B">
        <w:trPr>
          <w:trHeight w:val="462"/>
        </w:trPr>
        <w:tc>
          <w:tcPr>
            <w:tcW w:w="14312" w:type="dxa"/>
            <w:gridSpan w:val="4"/>
            <w:shd w:val="clear" w:color="auto" w:fill="02636A"/>
            <w:vAlign w:val="center"/>
          </w:tcPr>
          <w:p w14:paraId="2C4E28E9" w14:textId="2F1E9E90" w:rsidR="00EB6B11" w:rsidRPr="005D0DB2" w:rsidRDefault="00A47EBE" w:rsidP="00346C6B">
            <w:pPr>
              <w:rPr>
                <w:rFonts w:ascii="Avenir Next Ultra Light" w:hAnsi="Avenir Next Ultra Light" w:cs="Calibri"/>
                <w:color w:val="FFFFFF" w:themeColor="background1"/>
                <w:sz w:val="22"/>
                <w:szCs w:val="22"/>
                <w:lang w:val="pt-BR"/>
              </w:rPr>
            </w:pPr>
            <w:r w:rsidRPr="005D0DB2">
              <w:rPr>
                <w:rFonts w:ascii="Avenir Next Ultra Light" w:hAnsi="Avenir Next Ultra Light" w:cs="Calibri"/>
                <w:b/>
                <w:bCs/>
                <w:color w:val="FFFFFF" w:themeColor="background1"/>
                <w:sz w:val="22"/>
                <w:szCs w:val="22"/>
                <w:lang w:val="pt-BR"/>
              </w:rPr>
              <w:t>Transparência</w:t>
            </w:r>
            <w:r w:rsidR="00EB6B11" w:rsidRPr="005D0DB2">
              <w:rPr>
                <w:rFonts w:ascii="Avenir Next Ultra Light" w:hAnsi="Avenir Next Ultra Light" w:cs="Calibri"/>
                <w:b/>
                <w:bCs/>
                <w:color w:val="FFFFFF" w:themeColor="background1"/>
                <w:sz w:val="22"/>
                <w:szCs w:val="22"/>
                <w:lang w:val="pt-BR"/>
              </w:rPr>
              <w:t>:</w:t>
            </w:r>
            <w:r w:rsidR="00EB6B11" w:rsidRPr="005D0DB2">
              <w:rPr>
                <w:rFonts w:ascii="Avenir Next Ultra Light" w:hAnsi="Avenir Next Ultra Light" w:cs="Calibri"/>
                <w:color w:val="FFFFFF" w:themeColor="background1"/>
                <w:sz w:val="22"/>
                <w:szCs w:val="22"/>
                <w:lang w:val="pt-BR"/>
              </w:rPr>
              <w:t xml:space="preserve"> </w:t>
            </w:r>
            <w:r w:rsidRPr="005D0DB2">
              <w:rPr>
                <w:rFonts w:ascii="Avenir Next Ultra Light" w:hAnsi="Avenir Next Ultra Light" w:cs="Calibri"/>
                <w:color w:val="FFFFFF" w:themeColor="background1"/>
                <w:sz w:val="22"/>
                <w:szCs w:val="22"/>
                <w:lang w:val="pt-BR"/>
              </w:rPr>
              <w:t>O</w:t>
            </w:r>
            <w:r w:rsidR="00EB6B11" w:rsidRPr="005D0DB2">
              <w:rPr>
                <w:rFonts w:ascii="Avenir Next Ultra Light" w:hAnsi="Avenir Next Ultra Light" w:cs="Calibri"/>
                <w:color w:val="FFFFFF" w:themeColor="background1"/>
                <w:sz w:val="22"/>
                <w:szCs w:val="22"/>
                <w:lang w:val="pt-BR"/>
              </w:rPr>
              <w:t xml:space="preserve"> SIS </w:t>
            </w:r>
            <w:r w:rsidRPr="005D0DB2">
              <w:rPr>
                <w:rFonts w:ascii="Avenir Next Ultra Light" w:hAnsi="Avenir Next Ultra Light" w:cs="Calibri"/>
                <w:color w:val="FFFFFF" w:themeColor="background1"/>
                <w:sz w:val="22"/>
                <w:szCs w:val="22"/>
                <w:lang w:val="pt-BR"/>
              </w:rPr>
              <w:t>fornecerá informações</w:t>
            </w:r>
            <w:r w:rsidR="00EB6B11" w:rsidRPr="005D0DB2">
              <w:rPr>
                <w:rFonts w:ascii="Avenir Next Ultra Light" w:hAnsi="Avenir Next Ultra Light" w:cs="Calibri"/>
                <w:color w:val="FFFFFF" w:themeColor="background1"/>
                <w:sz w:val="22"/>
                <w:szCs w:val="22"/>
                <w:lang w:val="pt-BR"/>
              </w:rPr>
              <w:t xml:space="preserve"> transparente</w:t>
            </w:r>
            <w:r w:rsidRPr="005D0DB2">
              <w:rPr>
                <w:rFonts w:ascii="Avenir Next Ultra Light" w:hAnsi="Avenir Next Ultra Light" w:cs="Calibri"/>
                <w:color w:val="FFFFFF" w:themeColor="background1"/>
                <w:sz w:val="22"/>
                <w:szCs w:val="22"/>
                <w:lang w:val="pt-BR"/>
              </w:rPr>
              <w:t>s e regularmente.</w:t>
            </w:r>
            <w:r w:rsidR="00EB6B11" w:rsidRPr="005D0DB2">
              <w:rPr>
                <w:rStyle w:val="FootnoteReference"/>
                <w:rFonts w:ascii="Avenir Next Ultra Light" w:hAnsi="Avenir Next Ultra Light" w:cs="Calibri"/>
                <w:color w:val="FFFFFF" w:themeColor="background1"/>
                <w:sz w:val="22"/>
                <w:szCs w:val="22"/>
                <w:lang w:val="pt-BR"/>
              </w:rPr>
              <w:footnoteReference w:id="6"/>
            </w:r>
          </w:p>
        </w:tc>
      </w:tr>
      <w:tr w:rsidR="005814EB" w:rsidRPr="005D0DB2" w14:paraId="47AA2842" w14:textId="77777777" w:rsidTr="005814EB">
        <w:tc>
          <w:tcPr>
            <w:tcW w:w="4205" w:type="dxa"/>
            <w:shd w:val="clear" w:color="auto" w:fill="BDCEC9"/>
            <w:vAlign w:val="center"/>
          </w:tcPr>
          <w:p w14:paraId="65B696E4" w14:textId="059374E6"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Perguntas</w:t>
            </w:r>
          </w:p>
        </w:tc>
        <w:tc>
          <w:tcPr>
            <w:tcW w:w="2293" w:type="dxa"/>
            <w:shd w:val="clear" w:color="auto" w:fill="BDCEC9"/>
            <w:vAlign w:val="center"/>
          </w:tcPr>
          <w:p w14:paraId="4655A80F" w14:textId="77777777"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Pontuação</w:t>
            </w:r>
          </w:p>
          <w:p w14:paraId="0D36BA65" w14:textId="5F1D2508"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(Sim/Não/Parcialmente)</w:t>
            </w:r>
          </w:p>
        </w:tc>
        <w:tc>
          <w:tcPr>
            <w:tcW w:w="4291" w:type="dxa"/>
            <w:shd w:val="clear" w:color="auto" w:fill="BDCEC9"/>
            <w:vAlign w:val="center"/>
          </w:tcPr>
          <w:p w14:paraId="0799665F" w14:textId="573E0082"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Constatações</w:t>
            </w:r>
          </w:p>
        </w:tc>
        <w:tc>
          <w:tcPr>
            <w:tcW w:w="3523" w:type="dxa"/>
            <w:shd w:val="clear" w:color="auto" w:fill="BDCEC9"/>
            <w:vAlign w:val="center"/>
          </w:tcPr>
          <w:p w14:paraId="22F90E66" w14:textId="092E3270"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Meios de verificação</w:t>
            </w:r>
          </w:p>
        </w:tc>
      </w:tr>
      <w:tr w:rsidR="00EB6B11" w:rsidRPr="005D0DB2" w14:paraId="48A9E431" w14:textId="77777777" w:rsidTr="005814EB">
        <w:tc>
          <w:tcPr>
            <w:tcW w:w="4205" w:type="dxa"/>
          </w:tcPr>
          <w:p w14:paraId="65D75792" w14:textId="79E71632" w:rsidR="00EB6B11" w:rsidRPr="005D0DB2" w:rsidRDefault="00A47EBE"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tem um processo claro para disseminar informações?</w:t>
            </w:r>
          </w:p>
          <w:p w14:paraId="114775F3" w14:textId="77777777" w:rsidR="00EB6B11" w:rsidRPr="005D0DB2" w:rsidRDefault="00EB6B11" w:rsidP="00CE0AF6">
            <w:pPr>
              <w:pStyle w:val="ListParagraph"/>
              <w:rPr>
                <w:rFonts w:ascii="Avenir Next" w:hAnsi="Avenir Next"/>
                <w:sz w:val="20"/>
                <w:szCs w:val="20"/>
                <w:lang w:val="pt-BR"/>
              </w:rPr>
            </w:pPr>
          </w:p>
        </w:tc>
        <w:tc>
          <w:tcPr>
            <w:tcW w:w="2293" w:type="dxa"/>
          </w:tcPr>
          <w:p w14:paraId="7D84B30E" w14:textId="77777777" w:rsidR="00EB6B11" w:rsidRPr="005D0DB2" w:rsidRDefault="00EB6B11" w:rsidP="00CE0AF6">
            <w:pPr>
              <w:rPr>
                <w:rFonts w:ascii="Avenir Next" w:hAnsi="Avenir Next"/>
                <w:sz w:val="20"/>
                <w:szCs w:val="20"/>
                <w:lang w:val="pt-BR"/>
              </w:rPr>
            </w:pPr>
          </w:p>
        </w:tc>
        <w:tc>
          <w:tcPr>
            <w:tcW w:w="4291" w:type="dxa"/>
          </w:tcPr>
          <w:p w14:paraId="66D620BC" w14:textId="77777777" w:rsidR="00EB6B11" w:rsidRPr="005D0DB2" w:rsidRDefault="00EB6B11" w:rsidP="00CE0AF6">
            <w:pPr>
              <w:rPr>
                <w:rFonts w:ascii="Avenir Next" w:hAnsi="Avenir Next"/>
                <w:sz w:val="20"/>
                <w:szCs w:val="20"/>
                <w:lang w:val="pt-BR"/>
              </w:rPr>
            </w:pPr>
          </w:p>
        </w:tc>
        <w:tc>
          <w:tcPr>
            <w:tcW w:w="3523" w:type="dxa"/>
          </w:tcPr>
          <w:p w14:paraId="3FB2C7DB" w14:textId="77777777" w:rsidR="00EB6B11" w:rsidRPr="005D0DB2" w:rsidRDefault="00EB6B11" w:rsidP="00CE0AF6">
            <w:pPr>
              <w:rPr>
                <w:rFonts w:ascii="Avenir Next" w:hAnsi="Avenir Next"/>
                <w:sz w:val="20"/>
                <w:szCs w:val="20"/>
                <w:lang w:val="pt-BR"/>
              </w:rPr>
            </w:pPr>
          </w:p>
        </w:tc>
      </w:tr>
      <w:tr w:rsidR="00EB6B11" w:rsidRPr="005D0DB2" w14:paraId="52EA92AC" w14:textId="77777777" w:rsidTr="005814EB">
        <w:tc>
          <w:tcPr>
            <w:tcW w:w="4205" w:type="dxa"/>
          </w:tcPr>
          <w:p w14:paraId="38A3F827" w14:textId="10C12A41" w:rsidR="00EB6B11" w:rsidRPr="005D0DB2" w:rsidRDefault="00A47EBE"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tem processos em vigor para garantir a disseminação pontual/regular de informações?</w:t>
            </w:r>
            <w:r w:rsidR="00EB6B11" w:rsidRPr="005D0DB2">
              <w:rPr>
                <w:rStyle w:val="FootnoteReference"/>
                <w:rFonts w:ascii="Avenir Next" w:hAnsi="Avenir Next"/>
                <w:sz w:val="20"/>
                <w:szCs w:val="20"/>
                <w:lang w:val="pt-BR"/>
              </w:rPr>
              <w:footnoteReference w:id="7"/>
            </w:r>
          </w:p>
          <w:p w14:paraId="0573CD88" w14:textId="77777777" w:rsidR="00EB6B11" w:rsidRPr="005D0DB2" w:rsidRDefault="00EB6B11" w:rsidP="00CE0AF6">
            <w:pPr>
              <w:rPr>
                <w:rFonts w:ascii="Avenir Next" w:hAnsi="Avenir Next"/>
                <w:sz w:val="20"/>
                <w:szCs w:val="20"/>
                <w:lang w:val="pt-BR"/>
              </w:rPr>
            </w:pPr>
          </w:p>
        </w:tc>
        <w:tc>
          <w:tcPr>
            <w:tcW w:w="2293" w:type="dxa"/>
          </w:tcPr>
          <w:p w14:paraId="46A09A52" w14:textId="77777777" w:rsidR="00EB6B11" w:rsidRPr="005D0DB2" w:rsidRDefault="00EB6B11" w:rsidP="00CE0AF6">
            <w:pPr>
              <w:rPr>
                <w:rFonts w:ascii="Avenir Next" w:hAnsi="Avenir Next"/>
                <w:sz w:val="20"/>
                <w:szCs w:val="20"/>
                <w:lang w:val="pt-BR"/>
              </w:rPr>
            </w:pPr>
          </w:p>
        </w:tc>
        <w:tc>
          <w:tcPr>
            <w:tcW w:w="4291" w:type="dxa"/>
          </w:tcPr>
          <w:p w14:paraId="1A4D134F" w14:textId="77777777" w:rsidR="00EB6B11" w:rsidRPr="005D0DB2" w:rsidRDefault="00EB6B11" w:rsidP="00CE0AF6">
            <w:pPr>
              <w:rPr>
                <w:rFonts w:ascii="Avenir Next" w:hAnsi="Avenir Next"/>
                <w:sz w:val="20"/>
                <w:szCs w:val="20"/>
                <w:lang w:val="pt-BR"/>
              </w:rPr>
            </w:pPr>
          </w:p>
        </w:tc>
        <w:tc>
          <w:tcPr>
            <w:tcW w:w="3523" w:type="dxa"/>
          </w:tcPr>
          <w:p w14:paraId="19EA772C" w14:textId="77777777" w:rsidR="00EB6B11" w:rsidRPr="005D0DB2" w:rsidRDefault="00EB6B11" w:rsidP="00CE0AF6">
            <w:pPr>
              <w:rPr>
                <w:rFonts w:ascii="Avenir Next" w:hAnsi="Avenir Next"/>
                <w:sz w:val="20"/>
                <w:szCs w:val="20"/>
                <w:lang w:val="pt-BR"/>
              </w:rPr>
            </w:pPr>
          </w:p>
        </w:tc>
      </w:tr>
      <w:tr w:rsidR="00EB6B11" w:rsidRPr="005D0DB2" w14:paraId="01C4CCD7" w14:textId="77777777" w:rsidTr="005814EB">
        <w:tc>
          <w:tcPr>
            <w:tcW w:w="4205" w:type="dxa"/>
          </w:tcPr>
          <w:p w14:paraId="0C09B976" w14:textId="2799D783" w:rsidR="00EB6B11" w:rsidRPr="005D0DB2" w:rsidRDefault="00A47EBE" w:rsidP="00EB6B11">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tem uma plataforma baseada na web (site/página) para compartilhar/disseminar informações?</w:t>
            </w:r>
          </w:p>
          <w:p w14:paraId="6C1CA9B3" w14:textId="77777777" w:rsidR="00EB6B11" w:rsidRPr="005D0DB2" w:rsidRDefault="00EB6B11" w:rsidP="00CE0AF6">
            <w:pPr>
              <w:pStyle w:val="ListParagraph"/>
              <w:rPr>
                <w:rFonts w:ascii="Avenir Next" w:hAnsi="Avenir Next"/>
                <w:sz w:val="20"/>
                <w:szCs w:val="20"/>
                <w:lang w:val="pt-BR"/>
              </w:rPr>
            </w:pPr>
          </w:p>
        </w:tc>
        <w:tc>
          <w:tcPr>
            <w:tcW w:w="2293" w:type="dxa"/>
          </w:tcPr>
          <w:p w14:paraId="22A71CF5" w14:textId="77777777" w:rsidR="00EB6B11" w:rsidRPr="005D0DB2" w:rsidRDefault="00EB6B11" w:rsidP="00CE0AF6">
            <w:pPr>
              <w:rPr>
                <w:rFonts w:ascii="Avenir Next" w:hAnsi="Avenir Next"/>
                <w:sz w:val="20"/>
                <w:szCs w:val="20"/>
                <w:lang w:val="pt-BR"/>
              </w:rPr>
            </w:pPr>
          </w:p>
        </w:tc>
        <w:tc>
          <w:tcPr>
            <w:tcW w:w="4291" w:type="dxa"/>
          </w:tcPr>
          <w:p w14:paraId="000EB042" w14:textId="77777777" w:rsidR="00EB6B11" w:rsidRPr="005D0DB2" w:rsidRDefault="00EB6B11" w:rsidP="00CE0AF6">
            <w:pPr>
              <w:rPr>
                <w:rFonts w:ascii="Avenir Next" w:hAnsi="Avenir Next"/>
                <w:sz w:val="20"/>
                <w:szCs w:val="20"/>
                <w:lang w:val="pt-BR"/>
              </w:rPr>
            </w:pPr>
          </w:p>
        </w:tc>
        <w:tc>
          <w:tcPr>
            <w:tcW w:w="3523" w:type="dxa"/>
          </w:tcPr>
          <w:p w14:paraId="4E8C91DE" w14:textId="77777777" w:rsidR="00EB6B11" w:rsidRPr="005D0DB2" w:rsidRDefault="00EB6B11" w:rsidP="00CE0AF6">
            <w:pPr>
              <w:rPr>
                <w:rFonts w:ascii="Avenir Next" w:hAnsi="Avenir Next"/>
                <w:sz w:val="20"/>
                <w:szCs w:val="20"/>
                <w:lang w:val="pt-BR"/>
              </w:rPr>
            </w:pPr>
          </w:p>
        </w:tc>
      </w:tr>
      <w:tr w:rsidR="00EB6B11" w:rsidRPr="005D0DB2" w14:paraId="5372DFCB" w14:textId="77777777" w:rsidTr="00346C6B">
        <w:tc>
          <w:tcPr>
            <w:tcW w:w="14312" w:type="dxa"/>
            <w:gridSpan w:val="4"/>
            <w:shd w:val="clear" w:color="auto" w:fill="00626A"/>
          </w:tcPr>
          <w:p w14:paraId="09D53585" w14:textId="0E45E828" w:rsidR="00EB6B11" w:rsidRPr="005D0DB2" w:rsidRDefault="00A47EBE" w:rsidP="00346C6B">
            <w:pPr>
              <w:widowControl w:val="0"/>
              <w:autoSpaceDE w:val="0"/>
              <w:autoSpaceDN w:val="0"/>
              <w:spacing w:before="67"/>
              <w:rPr>
                <w:rFonts w:ascii="Avenir Next Ultra Light" w:hAnsi="Avenir Next Ultra Light"/>
                <w:color w:val="FFFFFF" w:themeColor="background1"/>
                <w:sz w:val="20"/>
                <w:szCs w:val="20"/>
                <w:lang w:val="pt-BR"/>
              </w:rPr>
            </w:pPr>
            <w:r w:rsidRPr="005D0DB2">
              <w:rPr>
                <w:rFonts w:ascii="Avenir Next Ultra Light" w:hAnsi="Avenir Next Ultra Light"/>
                <w:b/>
                <w:bCs/>
                <w:color w:val="FFFFFF" w:themeColor="background1"/>
                <w:sz w:val="20"/>
                <w:szCs w:val="20"/>
                <w:lang w:val="pt-BR"/>
              </w:rPr>
              <w:lastRenderedPageBreak/>
              <w:t>Acessibilidade</w:t>
            </w:r>
            <w:r w:rsidR="00EB6B11" w:rsidRPr="005D0DB2">
              <w:rPr>
                <w:rFonts w:ascii="Avenir Next Ultra Light" w:hAnsi="Avenir Next Ultra Light"/>
                <w:b/>
                <w:bCs/>
                <w:color w:val="FFFFFF" w:themeColor="background1"/>
                <w:sz w:val="20"/>
                <w:szCs w:val="20"/>
                <w:lang w:val="pt-BR"/>
              </w:rPr>
              <w:t>:</w:t>
            </w:r>
            <w:r w:rsidR="00EB6B11" w:rsidRPr="005D0DB2">
              <w:rPr>
                <w:rFonts w:ascii="Avenir Next Ultra Light" w:hAnsi="Avenir Next Ultra Light"/>
                <w:color w:val="FFFFFF" w:themeColor="background1"/>
                <w:sz w:val="20"/>
                <w:szCs w:val="20"/>
                <w:lang w:val="pt-BR"/>
              </w:rPr>
              <w:t xml:space="preserve"> </w:t>
            </w:r>
            <w:r w:rsidRPr="005D0DB2">
              <w:rPr>
                <w:rFonts w:ascii="Avenir Next Ultra Light" w:hAnsi="Avenir Next Ultra Light"/>
                <w:color w:val="FFFFFF" w:themeColor="background1"/>
                <w:sz w:val="20"/>
                <w:szCs w:val="20"/>
                <w:lang w:val="pt-BR"/>
              </w:rPr>
              <w:t>O</w:t>
            </w:r>
            <w:r w:rsidR="00EB6B11" w:rsidRPr="005D0DB2">
              <w:rPr>
                <w:rFonts w:ascii="Avenir Next Ultra Light" w:hAnsi="Avenir Next Ultra Light"/>
                <w:color w:val="FFFFFF" w:themeColor="background1"/>
                <w:sz w:val="20"/>
                <w:szCs w:val="20"/>
                <w:lang w:val="pt-BR"/>
              </w:rPr>
              <w:t xml:space="preserve"> SIS </w:t>
            </w:r>
            <w:r w:rsidRPr="005D0DB2">
              <w:rPr>
                <w:rFonts w:ascii="Avenir Next Ultra Light" w:hAnsi="Avenir Next Ultra Light"/>
                <w:color w:val="FFFFFF" w:themeColor="background1"/>
                <w:sz w:val="20"/>
                <w:szCs w:val="20"/>
                <w:lang w:val="pt-BR"/>
              </w:rPr>
              <w:t>fornecerá informações accessíveis a todas as partes interessadas.</w:t>
            </w:r>
            <w:r w:rsidR="00EB6B11" w:rsidRPr="005D0DB2">
              <w:rPr>
                <w:rStyle w:val="FootnoteReference"/>
                <w:rFonts w:ascii="Avenir Next Ultra Light" w:hAnsi="Avenir Next Ultra Light"/>
                <w:color w:val="FFFFFF" w:themeColor="background1"/>
                <w:sz w:val="20"/>
                <w:szCs w:val="20"/>
                <w:lang w:val="pt-BR"/>
              </w:rPr>
              <w:footnoteReference w:id="8"/>
            </w:r>
          </w:p>
        </w:tc>
      </w:tr>
      <w:tr w:rsidR="005814EB" w:rsidRPr="005D0DB2" w14:paraId="09D56819" w14:textId="77777777" w:rsidTr="005814EB">
        <w:tc>
          <w:tcPr>
            <w:tcW w:w="4205" w:type="dxa"/>
            <w:shd w:val="clear" w:color="auto" w:fill="BDCEC9"/>
            <w:vAlign w:val="center"/>
          </w:tcPr>
          <w:p w14:paraId="79005C96" w14:textId="6319A2BB"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Perguntas</w:t>
            </w:r>
          </w:p>
        </w:tc>
        <w:tc>
          <w:tcPr>
            <w:tcW w:w="2293" w:type="dxa"/>
            <w:shd w:val="clear" w:color="auto" w:fill="BDCEC9"/>
            <w:vAlign w:val="center"/>
          </w:tcPr>
          <w:p w14:paraId="27CB8515" w14:textId="77777777"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Pontuação</w:t>
            </w:r>
          </w:p>
          <w:p w14:paraId="25FEB988" w14:textId="45BD30D9"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(Sim/Não/Parcialmente)</w:t>
            </w:r>
          </w:p>
        </w:tc>
        <w:tc>
          <w:tcPr>
            <w:tcW w:w="4291" w:type="dxa"/>
            <w:shd w:val="clear" w:color="auto" w:fill="BDCEC9"/>
            <w:vAlign w:val="center"/>
          </w:tcPr>
          <w:p w14:paraId="38205C8A" w14:textId="7556C53B"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Constatações</w:t>
            </w:r>
          </w:p>
        </w:tc>
        <w:tc>
          <w:tcPr>
            <w:tcW w:w="3523" w:type="dxa"/>
            <w:shd w:val="clear" w:color="auto" w:fill="BDCEC9"/>
            <w:vAlign w:val="center"/>
          </w:tcPr>
          <w:p w14:paraId="4C8AF492" w14:textId="592042F3"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Meios de verificação</w:t>
            </w:r>
          </w:p>
        </w:tc>
      </w:tr>
      <w:tr w:rsidR="00EB6B11" w:rsidRPr="005D0DB2" w14:paraId="389D6F38" w14:textId="77777777" w:rsidTr="005814EB">
        <w:tc>
          <w:tcPr>
            <w:tcW w:w="4205" w:type="dxa"/>
          </w:tcPr>
          <w:p w14:paraId="5B073F80" w14:textId="4448A2F7" w:rsidR="00EB6B11" w:rsidRPr="005D0DB2" w:rsidRDefault="00A47EBE"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fornece informações de maneira culturalmente apropriada?</w:t>
            </w:r>
            <w:r w:rsidR="00EB6B11" w:rsidRPr="005D0DB2">
              <w:rPr>
                <w:rStyle w:val="FootnoteReference"/>
                <w:rFonts w:ascii="Avenir Next" w:hAnsi="Avenir Next"/>
                <w:sz w:val="20"/>
                <w:szCs w:val="20"/>
                <w:lang w:val="pt-BR"/>
              </w:rPr>
              <w:footnoteReference w:id="9"/>
            </w:r>
          </w:p>
          <w:p w14:paraId="401C0916" w14:textId="77777777" w:rsidR="00EB6B11" w:rsidRPr="005D0DB2" w:rsidRDefault="00EB6B11" w:rsidP="00CE0AF6">
            <w:pPr>
              <w:pStyle w:val="ListParagraph"/>
              <w:rPr>
                <w:rFonts w:ascii="Avenir Next" w:hAnsi="Avenir Next"/>
                <w:sz w:val="20"/>
                <w:szCs w:val="20"/>
                <w:lang w:val="pt-BR"/>
              </w:rPr>
            </w:pPr>
          </w:p>
        </w:tc>
        <w:tc>
          <w:tcPr>
            <w:tcW w:w="2293" w:type="dxa"/>
          </w:tcPr>
          <w:p w14:paraId="0E9566F0" w14:textId="77777777" w:rsidR="00EB6B11" w:rsidRPr="005D0DB2" w:rsidRDefault="00EB6B11" w:rsidP="00CE0AF6">
            <w:pPr>
              <w:rPr>
                <w:rFonts w:ascii="Avenir Next" w:hAnsi="Avenir Next"/>
                <w:sz w:val="20"/>
                <w:szCs w:val="20"/>
                <w:lang w:val="pt-BR"/>
              </w:rPr>
            </w:pPr>
          </w:p>
        </w:tc>
        <w:tc>
          <w:tcPr>
            <w:tcW w:w="4291" w:type="dxa"/>
          </w:tcPr>
          <w:p w14:paraId="149AC5C7" w14:textId="77777777" w:rsidR="00EB6B11" w:rsidRPr="005D0DB2" w:rsidRDefault="00EB6B11" w:rsidP="00CE0AF6">
            <w:pPr>
              <w:rPr>
                <w:rFonts w:ascii="Avenir Next" w:hAnsi="Avenir Next"/>
                <w:sz w:val="20"/>
                <w:szCs w:val="20"/>
                <w:lang w:val="pt-BR"/>
              </w:rPr>
            </w:pPr>
          </w:p>
        </w:tc>
        <w:tc>
          <w:tcPr>
            <w:tcW w:w="3523" w:type="dxa"/>
          </w:tcPr>
          <w:p w14:paraId="10A22CCD" w14:textId="77777777" w:rsidR="00EB6B11" w:rsidRPr="005D0DB2" w:rsidRDefault="00EB6B11" w:rsidP="00CE0AF6">
            <w:pPr>
              <w:rPr>
                <w:rFonts w:ascii="Avenir Next" w:hAnsi="Avenir Next"/>
                <w:sz w:val="20"/>
                <w:szCs w:val="20"/>
                <w:lang w:val="pt-BR"/>
              </w:rPr>
            </w:pPr>
          </w:p>
        </w:tc>
      </w:tr>
      <w:tr w:rsidR="00EB6B11" w:rsidRPr="005D0DB2" w14:paraId="5FC36E08" w14:textId="77777777" w:rsidTr="005814EB">
        <w:tc>
          <w:tcPr>
            <w:tcW w:w="4205" w:type="dxa"/>
          </w:tcPr>
          <w:p w14:paraId="0AC07A68" w14:textId="505D6E3F" w:rsidR="00EB6B11" w:rsidRPr="005D0DB2" w:rsidRDefault="00DA23B1"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 xml:space="preserve">A plataforma baseada na web do SIS (ou equivalente) oferece todas as informações relevantes e é guiada pelo princípio da </w:t>
            </w:r>
            <w:r w:rsidR="005D0DB2" w:rsidRPr="005D0DB2">
              <w:rPr>
                <w:rFonts w:ascii="Avenir Next" w:hAnsi="Avenir Next"/>
                <w:color w:val="000000"/>
                <w:sz w:val="20"/>
                <w:szCs w:val="20"/>
                <w:lang w:val="pt-BR"/>
              </w:rPr>
              <w:t>transparência</w:t>
            </w:r>
            <w:r w:rsidRPr="005D0DB2">
              <w:rPr>
                <w:rFonts w:ascii="Avenir Next" w:hAnsi="Avenir Next"/>
                <w:color w:val="000000"/>
                <w:sz w:val="20"/>
                <w:szCs w:val="20"/>
                <w:lang w:val="pt-BR"/>
              </w:rPr>
              <w:t xml:space="preserve"> máxima?</w:t>
            </w:r>
            <w:r w:rsidR="00EB6B11" w:rsidRPr="005D0DB2">
              <w:rPr>
                <w:rStyle w:val="FootnoteReference"/>
                <w:rFonts w:ascii="Avenir Next" w:hAnsi="Avenir Next"/>
                <w:sz w:val="20"/>
                <w:szCs w:val="20"/>
                <w:lang w:val="pt-BR"/>
              </w:rPr>
              <w:footnoteReference w:id="10"/>
            </w:r>
          </w:p>
          <w:p w14:paraId="1524B110" w14:textId="77777777" w:rsidR="00EB6B11" w:rsidRPr="005D0DB2" w:rsidRDefault="00EB6B11" w:rsidP="00CE0AF6">
            <w:pPr>
              <w:pStyle w:val="ListParagraph"/>
              <w:rPr>
                <w:rFonts w:ascii="Avenir Next" w:hAnsi="Avenir Next"/>
                <w:sz w:val="20"/>
                <w:szCs w:val="20"/>
                <w:lang w:val="pt-BR"/>
              </w:rPr>
            </w:pPr>
          </w:p>
        </w:tc>
        <w:tc>
          <w:tcPr>
            <w:tcW w:w="2293" w:type="dxa"/>
          </w:tcPr>
          <w:p w14:paraId="3BA97F04" w14:textId="77777777" w:rsidR="00EB6B11" w:rsidRPr="005D0DB2" w:rsidRDefault="00EB6B11" w:rsidP="00CE0AF6">
            <w:pPr>
              <w:rPr>
                <w:rFonts w:ascii="Avenir Next" w:hAnsi="Avenir Next"/>
                <w:sz w:val="20"/>
                <w:szCs w:val="20"/>
                <w:lang w:val="pt-BR"/>
              </w:rPr>
            </w:pPr>
          </w:p>
        </w:tc>
        <w:tc>
          <w:tcPr>
            <w:tcW w:w="4291" w:type="dxa"/>
          </w:tcPr>
          <w:p w14:paraId="707A8BE0" w14:textId="77777777" w:rsidR="00EB6B11" w:rsidRPr="005D0DB2" w:rsidRDefault="00EB6B11" w:rsidP="00CE0AF6">
            <w:pPr>
              <w:rPr>
                <w:rFonts w:ascii="Avenir Next" w:hAnsi="Avenir Next"/>
                <w:sz w:val="20"/>
                <w:szCs w:val="20"/>
                <w:lang w:val="pt-BR"/>
              </w:rPr>
            </w:pPr>
          </w:p>
        </w:tc>
        <w:tc>
          <w:tcPr>
            <w:tcW w:w="3523" w:type="dxa"/>
          </w:tcPr>
          <w:p w14:paraId="2854FEE5" w14:textId="77777777" w:rsidR="00EB6B11" w:rsidRPr="005D0DB2" w:rsidRDefault="00EB6B11" w:rsidP="00CE0AF6">
            <w:pPr>
              <w:rPr>
                <w:rFonts w:ascii="Avenir Next" w:hAnsi="Avenir Next"/>
                <w:sz w:val="20"/>
                <w:szCs w:val="20"/>
                <w:lang w:val="pt-BR"/>
              </w:rPr>
            </w:pPr>
          </w:p>
        </w:tc>
      </w:tr>
      <w:tr w:rsidR="00EB6B11" w:rsidRPr="005D0DB2" w14:paraId="2FAC6BB8" w14:textId="77777777" w:rsidTr="005814EB">
        <w:tc>
          <w:tcPr>
            <w:tcW w:w="4205" w:type="dxa"/>
          </w:tcPr>
          <w:p w14:paraId="676116C0" w14:textId="2A00761D" w:rsidR="00EB6B11" w:rsidRPr="005D0DB2" w:rsidRDefault="00DA23B1"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 xml:space="preserve">O SIS (ou equivalente) inclui recursos de acessibilidade (por exemplo, um formulário de contato, mecanismo de </w:t>
            </w:r>
            <w:proofErr w:type="gramStart"/>
            <w:r w:rsidRPr="005D0DB2">
              <w:rPr>
                <w:rFonts w:ascii="Avenir Next" w:hAnsi="Avenir Next"/>
                <w:color w:val="000000"/>
                <w:sz w:val="20"/>
                <w:szCs w:val="20"/>
                <w:lang w:val="pt-BR"/>
              </w:rPr>
              <w:t>feedback, etc.</w:t>
            </w:r>
            <w:proofErr w:type="gramEnd"/>
            <w:r w:rsidRPr="005D0DB2">
              <w:rPr>
                <w:rFonts w:ascii="Avenir Next" w:hAnsi="Avenir Next"/>
                <w:color w:val="000000"/>
                <w:sz w:val="20"/>
                <w:szCs w:val="20"/>
                <w:lang w:val="pt-BR"/>
              </w:rPr>
              <w:t>)?</w:t>
            </w:r>
          </w:p>
          <w:p w14:paraId="12B2A888" w14:textId="77777777" w:rsidR="00EB6B11" w:rsidRPr="005D0DB2" w:rsidRDefault="00EB6B11" w:rsidP="00CE0AF6">
            <w:pPr>
              <w:pStyle w:val="ListParagraph"/>
              <w:rPr>
                <w:rFonts w:ascii="Avenir Next" w:hAnsi="Avenir Next"/>
                <w:sz w:val="20"/>
                <w:szCs w:val="20"/>
                <w:lang w:val="pt-BR"/>
              </w:rPr>
            </w:pPr>
          </w:p>
        </w:tc>
        <w:tc>
          <w:tcPr>
            <w:tcW w:w="2293" w:type="dxa"/>
          </w:tcPr>
          <w:p w14:paraId="6AF828A5" w14:textId="77777777" w:rsidR="00EB6B11" w:rsidRPr="005D0DB2" w:rsidRDefault="00EB6B11" w:rsidP="00CE0AF6">
            <w:pPr>
              <w:rPr>
                <w:rFonts w:ascii="Avenir Next" w:hAnsi="Avenir Next"/>
                <w:sz w:val="20"/>
                <w:szCs w:val="20"/>
                <w:lang w:val="pt-BR"/>
              </w:rPr>
            </w:pPr>
          </w:p>
        </w:tc>
        <w:tc>
          <w:tcPr>
            <w:tcW w:w="4291" w:type="dxa"/>
          </w:tcPr>
          <w:p w14:paraId="4D3C2778" w14:textId="77777777" w:rsidR="00EB6B11" w:rsidRPr="005D0DB2" w:rsidRDefault="00EB6B11" w:rsidP="00CE0AF6">
            <w:pPr>
              <w:rPr>
                <w:rFonts w:ascii="Avenir Next" w:hAnsi="Avenir Next"/>
                <w:sz w:val="20"/>
                <w:szCs w:val="20"/>
                <w:lang w:val="pt-BR"/>
              </w:rPr>
            </w:pPr>
          </w:p>
        </w:tc>
        <w:tc>
          <w:tcPr>
            <w:tcW w:w="3523" w:type="dxa"/>
          </w:tcPr>
          <w:p w14:paraId="17C3053B" w14:textId="77777777" w:rsidR="00EB6B11" w:rsidRPr="005D0DB2" w:rsidRDefault="00EB6B11" w:rsidP="00CE0AF6">
            <w:pPr>
              <w:rPr>
                <w:rFonts w:ascii="Avenir Next" w:hAnsi="Avenir Next"/>
                <w:sz w:val="20"/>
                <w:szCs w:val="20"/>
                <w:lang w:val="pt-BR"/>
              </w:rPr>
            </w:pPr>
          </w:p>
        </w:tc>
      </w:tr>
      <w:tr w:rsidR="00EB6B11" w:rsidRPr="005D0DB2" w14:paraId="514A29EF" w14:textId="77777777" w:rsidTr="00346C6B">
        <w:trPr>
          <w:trHeight w:val="795"/>
        </w:trPr>
        <w:tc>
          <w:tcPr>
            <w:tcW w:w="14312" w:type="dxa"/>
            <w:gridSpan w:val="4"/>
            <w:shd w:val="clear" w:color="auto" w:fill="00626A"/>
            <w:vAlign w:val="center"/>
          </w:tcPr>
          <w:p w14:paraId="07E402C0" w14:textId="4E7A8B5D" w:rsidR="00EB6B11" w:rsidRPr="005D0DB2" w:rsidRDefault="00DA23B1" w:rsidP="00346C6B">
            <w:pPr>
              <w:rPr>
                <w:rFonts w:ascii="Avenir Next Ultra Light" w:hAnsi="Avenir Next Ultra Light"/>
                <w:color w:val="FFFFFF" w:themeColor="background1"/>
                <w:sz w:val="22"/>
                <w:szCs w:val="22"/>
                <w:lang w:val="pt-BR"/>
              </w:rPr>
            </w:pPr>
            <w:r w:rsidRPr="005D0DB2">
              <w:rPr>
                <w:rFonts w:ascii="Avenir Next Ultra Light" w:hAnsi="Avenir Next Ultra Light"/>
                <w:b/>
                <w:bCs/>
                <w:color w:val="FFFFFF" w:themeColor="background1"/>
                <w:sz w:val="22"/>
                <w:szCs w:val="22"/>
                <w:lang w:val="pt-BR"/>
              </w:rPr>
              <w:t>Flexibilidade</w:t>
            </w:r>
            <w:r w:rsidR="00EB6B11" w:rsidRPr="005D0DB2">
              <w:rPr>
                <w:rFonts w:ascii="Avenir Next Ultra Light" w:hAnsi="Avenir Next Ultra Light"/>
                <w:b/>
                <w:bCs/>
                <w:color w:val="FFFFFF" w:themeColor="background1"/>
                <w:sz w:val="22"/>
                <w:szCs w:val="22"/>
                <w:lang w:val="pt-BR"/>
              </w:rPr>
              <w:t>:</w:t>
            </w:r>
            <w:r w:rsidR="00EB6B11" w:rsidRPr="005D0DB2">
              <w:rPr>
                <w:rFonts w:ascii="Avenir Next Ultra Light" w:hAnsi="Avenir Next Ultra Light"/>
                <w:color w:val="FFFFFF" w:themeColor="background1"/>
                <w:sz w:val="22"/>
                <w:szCs w:val="22"/>
                <w:lang w:val="pt-BR"/>
              </w:rPr>
              <w:t xml:space="preserve"> </w:t>
            </w:r>
            <w:r w:rsidRPr="005D0DB2">
              <w:rPr>
                <w:rFonts w:ascii="Avenir Next Ultra Light" w:hAnsi="Avenir Next Ultra Light"/>
                <w:color w:val="FFFFFF" w:themeColor="background1"/>
                <w:sz w:val="22"/>
                <w:szCs w:val="22"/>
                <w:lang w:val="pt-BR"/>
              </w:rPr>
              <w:t>O</w:t>
            </w:r>
            <w:r w:rsidR="00EB6B11" w:rsidRPr="005D0DB2">
              <w:rPr>
                <w:rFonts w:ascii="Avenir Next Ultra Light" w:hAnsi="Avenir Next Ultra Light"/>
                <w:color w:val="FFFFFF" w:themeColor="background1"/>
                <w:sz w:val="22"/>
                <w:szCs w:val="22"/>
                <w:lang w:val="pt-BR"/>
              </w:rPr>
              <w:t xml:space="preserve"> SIS </w:t>
            </w:r>
            <w:r w:rsidRPr="005D0DB2">
              <w:rPr>
                <w:rFonts w:ascii="Avenir Next Ultra Light" w:hAnsi="Avenir Next Ultra Light"/>
                <w:color w:val="FFFFFF" w:themeColor="background1"/>
                <w:sz w:val="22"/>
                <w:szCs w:val="22"/>
                <w:lang w:val="pt-BR"/>
              </w:rPr>
              <w:t>é projetado para permitir melhorias ao longo do tempo, reconhecendo a abordagem gradual para produzir informações sobre salvaguardas</w:t>
            </w:r>
            <w:r w:rsidR="00EB6B11" w:rsidRPr="005D0DB2">
              <w:rPr>
                <w:rFonts w:ascii="Avenir Next Ultra Light" w:hAnsi="Avenir Next Ultra Light"/>
                <w:color w:val="FFFFFF" w:themeColor="background1"/>
                <w:sz w:val="22"/>
                <w:szCs w:val="22"/>
                <w:lang w:val="pt-BR"/>
              </w:rPr>
              <w:t>.</w:t>
            </w:r>
            <w:r w:rsidR="00EB6B11" w:rsidRPr="005D0DB2">
              <w:rPr>
                <w:rStyle w:val="FootnoteReference"/>
                <w:rFonts w:ascii="Avenir Next Ultra Light" w:hAnsi="Avenir Next Ultra Light"/>
                <w:color w:val="FFFFFF" w:themeColor="background1"/>
                <w:sz w:val="22"/>
                <w:szCs w:val="22"/>
                <w:lang w:val="pt-BR"/>
              </w:rPr>
              <w:t xml:space="preserve"> </w:t>
            </w:r>
            <w:r w:rsidR="00EB6B11" w:rsidRPr="005D0DB2">
              <w:rPr>
                <w:rStyle w:val="FootnoteReference"/>
                <w:rFonts w:ascii="Avenir Next Ultra Light" w:hAnsi="Avenir Next Ultra Light"/>
                <w:color w:val="FFFFFF" w:themeColor="background1"/>
                <w:sz w:val="22"/>
                <w:szCs w:val="22"/>
                <w:lang w:val="pt-BR"/>
              </w:rPr>
              <w:footnoteReference w:id="11"/>
            </w:r>
          </w:p>
        </w:tc>
      </w:tr>
      <w:tr w:rsidR="005814EB" w:rsidRPr="005D0DB2" w14:paraId="1CC615C2" w14:textId="77777777" w:rsidTr="005814EB">
        <w:tc>
          <w:tcPr>
            <w:tcW w:w="4205" w:type="dxa"/>
            <w:shd w:val="clear" w:color="auto" w:fill="BDCEC9"/>
            <w:vAlign w:val="center"/>
          </w:tcPr>
          <w:p w14:paraId="253799C8" w14:textId="79FB50CE"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Perguntas</w:t>
            </w:r>
          </w:p>
        </w:tc>
        <w:tc>
          <w:tcPr>
            <w:tcW w:w="2293" w:type="dxa"/>
            <w:shd w:val="clear" w:color="auto" w:fill="BDCEC9"/>
            <w:vAlign w:val="center"/>
          </w:tcPr>
          <w:p w14:paraId="7B637C6E" w14:textId="77777777"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Pontuação</w:t>
            </w:r>
          </w:p>
          <w:p w14:paraId="3C7CB297" w14:textId="32A98DEF"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(Sim/Não/Parcialmente)</w:t>
            </w:r>
          </w:p>
        </w:tc>
        <w:tc>
          <w:tcPr>
            <w:tcW w:w="4291" w:type="dxa"/>
            <w:shd w:val="clear" w:color="auto" w:fill="BDCEC9"/>
            <w:vAlign w:val="center"/>
          </w:tcPr>
          <w:p w14:paraId="16DC254C" w14:textId="5AFB516E"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Constatações</w:t>
            </w:r>
          </w:p>
        </w:tc>
        <w:tc>
          <w:tcPr>
            <w:tcW w:w="3523" w:type="dxa"/>
            <w:shd w:val="clear" w:color="auto" w:fill="BDCEC9"/>
            <w:vAlign w:val="center"/>
          </w:tcPr>
          <w:p w14:paraId="168F914E" w14:textId="3B262666"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Meios de verificação</w:t>
            </w:r>
          </w:p>
        </w:tc>
      </w:tr>
      <w:tr w:rsidR="00EB6B11" w:rsidRPr="005D0DB2" w14:paraId="238986F5" w14:textId="77777777" w:rsidTr="005814EB">
        <w:tc>
          <w:tcPr>
            <w:tcW w:w="4205" w:type="dxa"/>
          </w:tcPr>
          <w:p w14:paraId="763D84B2" w14:textId="7E777E06" w:rsidR="00EB6B11" w:rsidRPr="005D0DB2" w:rsidRDefault="00DA23B1"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 xml:space="preserve">O SIS (ou equivalente) é projetado para fornecer informações </w:t>
            </w:r>
            <w:r w:rsidRPr="005D0DB2">
              <w:rPr>
                <w:rFonts w:ascii="Avenir Next" w:hAnsi="Avenir Next"/>
                <w:color w:val="000000"/>
                <w:sz w:val="20"/>
                <w:szCs w:val="20"/>
                <w:lang w:val="pt-BR"/>
              </w:rPr>
              <w:lastRenderedPageBreak/>
              <w:t>adequadas às etapas relevantes (desenvolvimento ou implementação) de suas ações de REDD+?</w:t>
            </w:r>
            <w:r w:rsidR="00EB6B11" w:rsidRPr="005D0DB2">
              <w:rPr>
                <w:rStyle w:val="FootnoteReference"/>
                <w:rFonts w:ascii="Avenir Next" w:hAnsi="Avenir Next"/>
                <w:sz w:val="20"/>
                <w:szCs w:val="20"/>
                <w:lang w:val="pt-BR"/>
              </w:rPr>
              <w:footnoteReference w:id="12"/>
            </w:r>
            <w:r w:rsidR="00EB6B11" w:rsidRPr="005D0DB2">
              <w:rPr>
                <w:rFonts w:ascii="Avenir Next" w:hAnsi="Avenir Next"/>
                <w:sz w:val="20"/>
                <w:szCs w:val="20"/>
                <w:lang w:val="pt-BR"/>
              </w:rPr>
              <w:t xml:space="preserve"> </w:t>
            </w:r>
          </w:p>
          <w:p w14:paraId="31189CF9" w14:textId="77777777" w:rsidR="00EB6B11" w:rsidRPr="005D0DB2" w:rsidRDefault="00EB6B11" w:rsidP="00CE0AF6">
            <w:pPr>
              <w:rPr>
                <w:rFonts w:ascii="Avenir Next" w:hAnsi="Avenir Next"/>
                <w:sz w:val="20"/>
                <w:szCs w:val="20"/>
                <w:lang w:val="pt-BR"/>
              </w:rPr>
            </w:pPr>
          </w:p>
        </w:tc>
        <w:tc>
          <w:tcPr>
            <w:tcW w:w="2293" w:type="dxa"/>
          </w:tcPr>
          <w:p w14:paraId="184ABD1F" w14:textId="77777777" w:rsidR="00EB6B11" w:rsidRPr="005D0DB2" w:rsidRDefault="00EB6B11" w:rsidP="00CE0AF6">
            <w:pPr>
              <w:rPr>
                <w:rFonts w:ascii="Avenir Next" w:hAnsi="Avenir Next"/>
                <w:sz w:val="20"/>
                <w:szCs w:val="20"/>
                <w:lang w:val="pt-BR"/>
              </w:rPr>
            </w:pPr>
          </w:p>
        </w:tc>
        <w:tc>
          <w:tcPr>
            <w:tcW w:w="4291" w:type="dxa"/>
          </w:tcPr>
          <w:p w14:paraId="06461EBD" w14:textId="77777777" w:rsidR="00EB6B11" w:rsidRPr="005D0DB2" w:rsidRDefault="00EB6B11" w:rsidP="00CE0AF6">
            <w:pPr>
              <w:rPr>
                <w:rFonts w:ascii="Avenir Next" w:hAnsi="Avenir Next"/>
                <w:sz w:val="20"/>
                <w:szCs w:val="20"/>
                <w:lang w:val="pt-BR"/>
              </w:rPr>
            </w:pPr>
          </w:p>
        </w:tc>
        <w:tc>
          <w:tcPr>
            <w:tcW w:w="3523" w:type="dxa"/>
          </w:tcPr>
          <w:p w14:paraId="4B15EF48" w14:textId="77777777" w:rsidR="00EB6B11" w:rsidRPr="005D0DB2" w:rsidRDefault="00EB6B11" w:rsidP="00CE0AF6">
            <w:pPr>
              <w:rPr>
                <w:rFonts w:ascii="Avenir Next" w:hAnsi="Avenir Next"/>
                <w:sz w:val="20"/>
                <w:szCs w:val="20"/>
                <w:lang w:val="pt-BR"/>
              </w:rPr>
            </w:pPr>
          </w:p>
        </w:tc>
      </w:tr>
      <w:tr w:rsidR="00EB6B11" w:rsidRPr="005D0DB2" w14:paraId="43ADB80C" w14:textId="77777777" w:rsidTr="005814EB">
        <w:tc>
          <w:tcPr>
            <w:tcW w:w="4205" w:type="dxa"/>
          </w:tcPr>
          <w:p w14:paraId="6E0B2AC2" w14:textId="557DF181" w:rsidR="00EB6B11" w:rsidRPr="005D0DB2" w:rsidRDefault="00DA23B1"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é projetado para ter uma função/processo para avaliar seu desempenho e identificar melhorias para o próximo período de relatório?</w:t>
            </w:r>
            <w:r w:rsidR="00EB6B11" w:rsidRPr="005D0DB2">
              <w:rPr>
                <w:rStyle w:val="FootnoteReference"/>
                <w:rFonts w:ascii="Avenir Next" w:hAnsi="Avenir Next"/>
                <w:sz w:val="20"/>
                <w:szCs w:val="20"/>
                <w:lang w:val="pt-BR"/>
              </w:rPr>
              <w:footnoteReference w:id="13"/>
            </w:r>
            <w:r w:rsidR="00EB6B11" w:rsidRPr="005D0DB2">
              <w:rPr>
                <w:rFonts w:ascii="Avenir Next" w:hAnsi="Avenir Next"/>
                <w:sz w:val="20"/>
                <w:szCs w:val="20"/>
                <w:lang w:val="pt-BR"/>
              </w:rPr>
              <w:t xml:space="preserve"> </w:t>
            </w:r>
          </w:p>
          <w:p w14:paraId="3D7458CD" w14:textId="77777777" w:rsidR="00EB6B11" w:rsidRPr="005D0DB2" w:rsidRDefault="00EB6B11" w:rsidP="00CE0AF6">
            <w:pPr>
              <w:rPr>
                <w:rFonts w:ascii="Avenir Next" w:hAnsi="Avenir Next"/>
                <w:sz w:val="20"/>
                <w:szCs w:val="20"/>
                <w:lang w:val="pt-BR"/>
              </w:rPr>
            </w:pPr>
          </w:p>
        </w:tc>
        <w:tc>
          <w:tcPr>
            <w:tcW w:w="2293" w:type="dxa"/>
          </w:tcPr>
          <w:p w14:paraId="337F81C5" w14:textId="77777777" w:rsidR="00EB6B11" w:rsidRPr="005D0DB2" w:rsidRDefault="00EB6B11" w:rsidP="00CE0AF6">
            <w:pPr>
              <w:rPr>
                <w:rFonts w:ascii="Avenir Next" w:hAnsi="Avenir Next"/>
                <w:sz w:val="20"/>
                <w:szCs w:val="20"/>
                <w:lang w:val="pt-BR"/>
              </w:rPr>
            </w:pPr>
          </w:p>
        </w:tc>
        <w:tc>
          <w:tcPr>
            <w:tcW w:w="4291" w:type="dxa"/>
          </w:tcPr>
          <w:p w14:paraId="3DA23F7A" w14:textId="77777777" w:rsidR="00EB6B11" w:rsidRPr="005D0DB2" w:rsidRDefault="00EB6B11" w:rsidP="00CE0AF6">
            <w:pPr>
              <w:rPr>
                <w:rFonts w:ascii="Avenir Next" w:hAnsi="Avenir Next"/>
                <w:sz w:val="20"/>
                <w:szCs w:val="20"/>
                <w:lang w:val="pt-BR"/>
              </w:rPr>
            </w:pPr>
          </w:p>
        </w:tc>
        <w:tc>
          <w:tcPr>
            <w:tcW w:w="3523" w:type="dxa"/>
          </w:tcPr>
          <w:p w14:paraId="146A0E27" w14:textId="77777777" w:rsidR="00EB6B11" w:rsidRPr="005D0DB2" w:rsidRDefault="00EB6B11" w:rsidP="00CE0AF6">
            <w:pPr>
              <w:rPr>
                <w:rFonts w:ascii="Avenir Next" w:hAnsi="Avenir Next"/>
                <w:sz w:val="20"/>
                <w:szCs w:val="20"/>
                <w:lang w:val="pt-BR"/>
              </w:rPr>
            </w:pPr>
          </w:p>
        </w:tc>
      </w:tr>
      <w:tr w:rsidR="00EB6B11" w:rsidRPr="005D0DB2" w14:paraId="1FFAF874" w14:textId="77777777" w:rsidTr="00346C6B">
        <w:tc>
          <w:tcPr>
            <w:tcW w:w="14312" w:type="dxa"/>
            <w:gridSpan w:val="4"/>
            <w:shd w:val="clear" w:color="auto" w:fill="00626A"/>
          </w:tcPr>
          <w:p w14:paraId="48D7F5BC" w14:textId="4281CACE" w:rsidR="00EB6B11" w:rsidRPr="005D0DB2" w:rsidRDefault="00DA23B1" w:rsidP="00346C6B">
            <w:pPr>
              <w:widowControl w:val="0"/>
              <w:autoSpaceDE w:val="0"/>
              <w:autoSpaceDN w:val="0"/>
              <w:spacing w:before="67"/>
              <w:rPr>
                <w:rFonts w:ascii="Avenir Next Ultra Light" w:hAnsi="Avenir Next Ultra Light"/>
                <w:color w:val="FFFFFF" w:themeColor="background1"/>
                <w:sz w:val="22"/>
                <w:szCs w:val="22"/>
                <w:lang w:val="pt-BR"/>
              </w:rPr>
            </w:pPr>
            <w:r w:rsidRPr="005D0DB2">
              <w:rPr>
                <w:rFonts w:ascii="Avenir Next Ultra Light" w:hAnsi="Avenir Next Ultra Light"/>
                <w:b/>
                <w:bCs/>
                <w:color w:val="FFFFFF" w:themeColor="background1"/>
                <w:sz w:val="22"/>
                <w:szCs w:val="22"/>
                <w:lang w:val="pt-BR"/>
              </w:rPr>
              <w:t>Integralidade</w:t>
            </w:r>
            <w:r w:rsidR="00EB6B11" w:rsidRPr="005D0DB2">
              <w:rPr>
                <w:rFonts w:ascii="Avenir Next Ultra Light" w:hAnsi="Avenir Next Ultra Light"/>
                <w:b/>
                <w:bCs/>
                <w:color w:val="FFFFFF" w:themeColor="background1"/>
                <w:sz w:val="22"/>
                <w:szCs w:val="22"/>
                <w:lang w:val="pt-BR"/>
              </w:rPr>
              <w:t>:</w:t>
            </w:r>
            <w:r w:rsidR="00EB6B11" w:rsidRPr="005D0DB2">
              <w:rPr>
                <w:rFonts w:ascii="Avenir Next Ultra Light" w:hAnsi="Avenir Next Ultra Light"/>
                <w:color w:val="FFFFFF" w:themeColor="background1"/>
                <w:sz w:val="22"/>
                <w:szCs w:val="22"/>
                <w:lang w:val="pt-BR"/>
              </w:rPr>
              <w:t xml:space="preserve"> </w:t>
            </w:r>
            <w:r w:rsidRPr="005D0DB2">
              <w:rPr>
                <w:rFonts w:ascii="Avenir Next Ultra Light" w:hAnsi="Avenir Next Ultra Light"/>
                <w:color w:val="FFFFFF" w:themeColor="background1"/>
                <w:sz w:val="22"/>
                <w:szCs w:val="22"/>
                <w:lang w:val="pt-BR"/>
              </w:rPr>
              <w:t>O</w:t>
            </w:r>
            <w:r w:rsidR="00EB6B11" w:rsidRPr="005D0DB2">
              <w:rPr>
                <w:rFonts w:ascii="Avenir Next Ultra Light" w:hAnsi="Avenir Next Ultra Light"/>
                <w:color w:val="FFFFFF" w:themeColor="background1"/>
                <w:sz w:val="22"/>
                <w:szCs w:val="22"/>
                <w:lang w:val="pt-BR"/>
              </w:rPr>
              <w:t xml:space="preserve"> SIS </w:t>
            </w:r>
            <w:r w:rsidRPr="005D0DB2">
              <w:rPr>
                <w:rFonts w:ascii="Avenir Next Ultra Light" w:hAnsi="Avenir Next Ultra Light"/>
                <w:color w:val="FFFFFF" w:themeColor="background1"/>
                <w:sz w:val="22"/>
                <w:szCs w:val="22"/>
                <w:lang w:val="pt-BR"/>
              </w:rPr>
              <w:t xml:space="preserve">fornecera </w:t>
            </w:r>
            <w:r w:rsidR="0083311A" w:rsidRPr="005D0DB2">
              <w:rPr>
                <w:rFonts w:ascii="Avenir Next Ultra Light" w:hAnsi="Avenir Next Ultra Light"/>
                <w:color w:val="FFFFFF" w:themeColor="background1"/>
                <w:sz w:val="22"/>
                <w:szCs w:val="22"/>
                <w:lang w:val="pt-BR"/>
              </w:rPr>
              <w:t>informações</w:t>
            </w:r>
            <w:r w:rsidRPr="005D0DB2">
              <w:rPr>
                <w:rFonts w:ascii="Avenir Next Ultra Light" w:hAnsi="Avenir Next Ultra Light"/>
                <w:color w:val="FFFFFF" w:themeColor="background1"/>
                <w:sz w:val="22"/>
                <w:szCs w:val="22"/>
                <w:lang w:val="pt-BR"/>
              </w:rPr>
              <w:t xml:space="preserve"> sobre como todas as salvaguardas mencionas no apêndice </w:t>
            </w:r>
            <w:r w:rsidR="00EB6B11" w:rsidRPr="005D0DB2">
              <w:rPr>
                <w:rFonts w:ascii="Avenir Next Ultra Light" w:hAnsi="Avenir Next Ultra Light"/>
                <w:color w:val="FFFFFF" w:themeColor="background1"/>
                <w:sz w:val="22"/>
                <w:szCs w:val="22"/>
                <w:lang w:val="pt-BR"/>
              </w:rPr>
              <w:t xml:space="preserve">I </w:t>
            </w:r>
            <w:r w:rsidRPr="005D0DB2">
              <w:rPr>
                <w:rFonts w:ascii="Avenir Next Ultra Light" w:hAnsi="Avenir Next Ultra Light"/>
                <w:color w:val="FFFFFF" w:themeColor="background1"/>
                <w:sz w:val="22"/>
                <w:szCs w:val="22"/>
                <w:lang w:val="pt-BR"/>
              </w:rPr>
              <w:t>da</w:t>
            </w:r>
            <w:r w:rsidR="00EB6B11" w:rsidRPr="005D0DB2">
              <w:rPr>
                <w:rFonts w:ascii="Avenir Next Ultra Light" w:hAnsi="Avenir Next Ultra Light"/>
                <w:color w:val="FFFFFF" w:themeColor="background1"/>
                <w:sz w:val="22"/>
                <w:szCs w:val="22"/>
                <w:lang w:val="pt-BR"/>
              </w:rPr>
              <w:t xml:space="preserve"> </w:t>
            </w:r>
            <w:r w:rsidRPr="005D0DB2">
              <w:rPr>
                <w:rFonts w:ascii="Avenir Next Ultra Light" w:hAnsi="Avenir Next Ultra Light"/>
                <w:color w:val="FFFFFF" w:themeColor="background1"/>
                <w:sz w:val="22"/>
                <w:szCs w:val="22"/>
                <w:lang w:val="pt-BR"/>
              </w:rPr>
              <w:t>decisão</w:t>
            </w:r>
            <w:r w:rsidR="00EB6B11" w:rsidRPr="005D0DB2">
              <w:rPr>
                <w:rFonts w:ascii="Avenir Next Ultra Light" w:hAnsi="Avenir Next Ultra Light"/>
                <w:color w:val="FFFFFF" w:themeColor="background1"/>
                <w:sz w:val="22"/>
                <w:szCs w:val="22"/>
                <w:lang w:val="pt-BR"/>
              </w:rPr>
              <w:t xml:space="preserve"> 1/CP.16</w:t>
            </w:r>
            <w:r w:rsidRPr="005D0DB2">
              <w:rPr>
                <w:rFonts w:ascii="Avenir Next Ultra Light" w:hAnsi="Avenir Next Ultra Light"/>
                <w:color w:val="FFFFFF" w:themeColor="background1"/>
                <w:sz w:val="22"/>
                <w:szCs w:val="22"/>
                <w:lang w:val="pt-BR"/>
              </w:rPr>
              <w:t xml:space="preserve"> </w:t>
            </w:r>
            <w:r w:rsidR="0083311A" w:rsidRPr="005D0DB2">
              <w:rPr>
                <w:rFonts w:ascii="Avenir Next Ultra Light" w:hAnsi="Avenir Next Ultra Light"/>
                <w:color w:val="FFFFFF" w:themeColor="background1"/>
                <w:sz w:val="22"/>
                <w:szCs w:val="22"/>
                <w:lang w:val="pt-BR"/>
              </w:rPr>
              <w:t>estão</w:t>
            </w:r>
            <w:r w:rsidRPr="005D0DB2">
              <w:rPr>
                <w:rFonts w:ascii="Avenir Next Ultra Light" w:hAnsi="Avenir Next Ultra Light"/>
                <w:color w:val="FFFFFF" w:themeColor="background1"/>
                <w:sz w:val="22"/>
                <w:szCs w:val="22"/>
                <w:lang w:val="pt-BR"/>
              </w:rPr>
              <w:t xml:space="preserve"> sendo abordadas e respeitadas, em correlação com a natureza, escopo e </w:t>
            </w:r>
            <w:r w:rsidR="005D0DB2" w:rsidRPr="005D0DB2">
              <w:rPr>
                <w:rFonts w:ascii="Avenir Next Ultra Light" w:hAnsi="Avenir Next Ultra Light"/>
                <w:color w:val="FFFFFF" w:themeColor="background1"/>
                <w:sz w:val="22"/>
                <w:szCs w:val="22"/>
                <w:lang w:val="pt-BR"/>
              </w:rPr>
              <w:t>estágio</w:t>
            </w:r>
            <w:r w:rsidRPr="005D0DB2">
              <w:rPr>
                <w:rFonts w:ascii="Avenir Next Ultra Light" w:hAnsi="Avenir Next Ultra Light"/>
                <w:color w:val="FFFFFF" w:themeColor="background1"/>
                <w:sz w:val="22"/>
                <w:szCs w:val="22"/>
                <w:lang w:val="pt-BR"/>
              </w:rPr>
              <w:t xml:space="preserve"> de desenvolvimento e implementação das </w:t>
            </w:r>
            <w:r w:rsidR="005D0DB2" w:rsidRPr="005D0DB2">
              <w:rPr>
                <w:rFonts w:ascii="Avenir Next Ultra Light" w:hAnsi="Avenir Next Ultra Light"/>
                <w:color w:val="FFFFFF" w:themeColor="background1"/>
                <w:sz w:val="22"/>
                <w:szCs w:val="22"/>
                <w:lang w:val="pt-BR"/>
              </w:rPr>
              <w:t>ações</w:t>
            </w:r>
            <w:r w:rsidRPr="005D0DB2">
              <w:rPr>
                <w:rFonts w:ascii="Avenir Next Ultra Light" w:hAnsi="Avenir Next Ultra Light"/>
                <w:color w:val="FFFFFF" w:themeColor="background1"/>
                <w:sz w:val="22"/>
                <w:szCs w:val="22"/>
                <w:lang w:val="pt-BR"/>
              </w:rPr>
              <w:t xml:space="preserve"> REDD+.</w:t>
            </w:r>
            <w:r w:rsidR="00EB6B11" w:rsidRPr="005D0DB2">
              <w:rPr>
                <w:rStyle w:val="FootnoteReference"/>
                <w:rFonts w:ascii="Avenir Next Ultra Light" w:hAnsi="Avenir Next Ultra Light"/>
                <w:color w:val="FFFFFF" w:themeColor="background1"/>
                <w:sz w:val="22"/>
                <w:szCs w:val="22"/>
                <w:lang w:val="pt-BR"/>
              </w:rPr>
              <w:footnoteReference w:id="14"/>
            </w:r>
          </w:p>
        </w:tc>
      </w:tr>
      <w:tr w:rsidR="005814EB" w:rsidRPr="005D0DB2" w14:paraId="21BB5C98" w14:textId="77777777" w:rsidTr="005814EB">
        <w:tc>
          <w:tcPr>
            <w:tcW w:w="4205" w:type="dxa"/>
            <w:shd w:val="clear" w:color="auto" w:fill="BDCEC9"/>
            <w:vAlign w:val="center"/>
          </w:tcPr>
          <w:p w14:paraId="7A1A34BB" w14:textId="266CB4DA"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Perguntas</w:t>
            </w:r>
          </w:p>
        </w:tc>
        <w:tc>
          <w:tcPr>
            <w:tcW w:w="2293" w:type="dxa"/>
            <w:shd w:val="clear" w:color="auto" w:fill="BDCEC9"/>
            <w:vAlign w:val="center"/>
          </w:tcPr>
          <w:p w14:paraId="733CBF54" w14:textId="77777777"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Pontuação</w:t>
            </w:r>
          </w:p>
          <w:p w14:paraId="13134F9F" w14:textId="7C84F0F3"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(Sim/Não/Parcialmente)</w:t>
            </w:r>
          </w:p>
        </w:tc>
        <w:tc>
          <w:tcPr>
            <w:tcW w:w="4291" w:type="dxa"/>
            <w:shd w:val="clear" w:color="auto" w:fill="BDCEC9"/>
            <w:vAlign w:val="center"/>
          </w:tcPr>
          <w:p w14:paraId="66E232D1" w14:textId="48B31136"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Constatações</w:t>
            </w:r>
          </w:p>
        </w:tc>
        <w:tc>
          <w:tcPr>
            <w:tcW w:w="3523" w:type="dxa"/>
            <w:shd w:val="clear" w:color="auto" w:fill="BDCEC9"/>
            <w:vAlign w:val="center"/>
          </w:tcPr>
          <w:p w14:paraId="0EC474A3" w14:textId="032131A4" w:rsidR="005814EB" w:rsidRPr="005D0DB2" w:rsidRDefault="005814EB" w:rsidP="005814EB">
            <w:pPr>
              <w:jc w:val="center"/>
              <w:rPr>
                <w:rFonts w:ascii="Bodoni 72 Book" w:hAnsi="Bodoni 72 Book"/>
                <w:sz w:val="22"/>
                <w:szCs w:val="22"/>
                <w:lang w:val="pt-BR"/>
              </w:rPr>
            </w:pPr>
            <w:r w:rsidRPr="005D0DB2">
              <w:rPr>
                <w:rFonts w:ascii="Bodoni 72 Book" w:hAnsi="Bodoni 72 Book"/>
                <w:sz w:val="22"/>
                <w:szCs w:val="22"/>
                <w:lang w:val="pt-BR"/>
              </w:rPr>
              <w:t>Meios de verificação</w:t>
            </w:r>
          </w:p>
        </w:tc>
      </w:tr>
      <w:tr w:rsidR="00EB6B11" w:rsidRPr="005D0DB2" w14:paraId="39BCFECE" w14:textId="77777777" w:rsidTr="005814EB">
        <w:tc>
          <w:tcPr>
            <w:tcW w:w="4205" w:type="dxa"/>
          </w:tcPr>
          <w:p w14:paraId="2BDC02B8" w14:textId="69C8CF77" w:rsidR="00EB6B11" w:rsidRPr="005D0DB2" w:rsidRDefault="0083311A"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 SIS (ou equivalente) tem indicadores que cobrem cada uma das sete salvaguardas de Cancún?</w:t>
            </w:r>
          </w:p>
          <w:p w14:paraId="32611BF8" w14:textId="77777777" w:rsidR="00EB6B11" w:rsidRPr="005D0DB2" w:rsidRDefault="00EB6B11" w:rsidP="00CE0AF6">
            <w:pPr>
              <w:pStyle w:val="ListParagraph"/>
              <w:rPr>
                <w:rFonts w:ascii="Avenir Next" w:hAnsi="Avenir Next"/>
                <w:sz w:val="20"/>
                <w:szCs w:val="20"/>
                <w:lang w:val="pt-BR"/>
              </w:rPr>
            </w:pPr>
          </w:p>
        </w:tc>
        <w:tc>
          <w:tcPr>
            <w:tcW w:w="2293" w:type="dxa"/>
          </w:tcPr>
          <w:p w14:paraId="527ACBBD" w14:textId="77777777" w:rsidR="00EB6B11" w:rsidRPr="005D0DB2" w:rsidRDefault="00EB6B11" w:rsidP="00CE0AF6">
            <w:pPr>
              <w:rPr>
                <w:rFonts w:ascii="Avenir Next" w:hAnsi="Avenir Next"/>
                <w:sz w:val="20"/>
                <w:szCs w:val="20"/>
                <w:lang w:val="pt-BR"/>
              </w:rPr>
            </w:pPr>
          </w:p>
        </w:tc>
        <w:tc>
          <w:tcPr>
            <w:tcW w:w="4291" w:type="dxa"/>
          </w:tcPr>
          <w:p w14:paraId="4BE6F8E9" w14:textId="77777777" w:rsidR="00EB6B11" w:rsidRPr="005D0DB2" w:rsidRDefault="00EB6B11" w:rsidP="00CE0AF6">
            <w:pPr>
              <w:rPr>
                <w:rFonts w:ascii="Avenir Next" w:hAnsi="Avenir Next"/>
                <w:sz w:val="20"/>
                <w:szCs w:val="20"/>
                <w:lang w:val="pt-BR"/>
              </w:rPr>
            </w:pPr>
          </w:p>
        </w:tc>
        <w:tc>
          <w:tcPr>
            <w:tcW w:w="3523" w:type="dxa"/>
          </w:tcPr>
          <w:p w14:paraId="76E7E805" w14:textId="77777777" w:rsidR="00EB6B11" w:rsidRPr="005D0DB2" w:rsidRDefault="00EB6B11" w:rsidP="00CE0AF6">
            <w:pPr>
              <w:rPr>
                <w:rFonts w:ascii="Avenir Next" w:hAnsi="Avenir Next"/>
                <w:sz w:val="20"/>
                <w:szCs w:val="20"/>
                <w:lang w:val="pt-BR"/>
              </w:rPr>
            </w:pPr>
          </w:p>
        </w:tc>
      </w:tr>
      <w:tr w:rsidR="00EB6B11" w:rsidRPr="005D0DB2" w14:paraId="696D8DBC" w14:textId="77777777" w:rsidTr="005814EB">
        <w:tc>
          <w:tcPr>
            <w:tcW w:w="4205" w:type="dxa"/>
          </w:tcPr>
          <w:p w14:paraId="2287E966" w14:textId="24D3FC29" w:rsidR="00EB6B11" w:rsidRPr="005D0DB2" w:rsidRDefault="0083311A"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Os indicadores do SIS (ou equivalentes) foram definidos em correlação com o escopo e a natureza das ações de REDD+ em implementação?</w:t>
            </w:r>
          </w:p>
          <w:p w14:paraId="5311A93F" w14:textId="77777777" w:rsidR="00EB6B11" w:rsidRPr="005D0DB2" w:rsidRDefault="00EB6B11" w:rsidP="00CE0AF6">
            <w:pPr>
              <w:pStyle w:val="ListParagraph"/>
              <w:rPr>
                <w:rFonts w:ascii="Avenir Next" w:hAnsi="Avenir Next"/>
                <w:sz w:val="20"/>
                <w:szCs w:val="20"/>
                <w:lang w:val="pt-BR"/>
              </w:rPr>
            </w:pPr>
          </w:p>
        </w:tc>
        <w:tc>
          <w:tcPr>
            <w:tcW w:w="2293" w:type="dxa"/>
          </w:tcPr>
          <w:p w14:paraId="6796C2C1" w14:textId="77777777" w:rsidR="00EB6B11" w:rsidRPr="005D0DB2" w:rsidRDefault="00EB6B11" w:rsidP="00CE0AF6">
            <w:pPr>
              <w:rPr>
                <w:rFonts w:ascii="Avenir Next" w:hAnsi="Avenir Next"/>
                <w:sz w:val="20"/>
                <w:szCs w:val="20"/>
                <w:lang w:val="pt-BR"/>
              </w:rPr>
            </w:pPr>
          </w:p>
        </w:tc>
        <w:tc>
          <w:tcPr>
            <w:tcW w:w="4291" w:type="dxa"/>
          </w:tcPr>
          <w:p w14:paraId="1DBA6365" w14:textId="77777777" w:rsidR="00EB6B11" w:rsidRPr="005D0DB2" w:rsidRDefault="00EB6B11" w:rsidP="00CE0AF6">
            <w:pPr>
              <w:rPr>
                <w:rFonts w:ascii="Avenir Next" w:hAnsi="Avenir Next"/>
                <w:sz w:val="20"/>
                <w:szCs w:val="20"/>
                <w:lang w:val="pt-BR"/>
              </w:rPr>
            </w:pPr>
          </w:p>
        </w:tc>
        <w:tc>
          <w:tcPr>
            <w:tcW w:w="3523" w:type="dxa"/>
          </w:tcPr>
          <w:p w14:paraId="1283E825" w14:textId="77777777" w:rsidR="00EB6B11" w:rsidRPr="005D0DB2" w:rsidRDefault="00EB6B11" w:rsidP="00CE0AF6">
            <w:pPr>
              <w:rPr>
                <w:rFonts w:ascii="Avenir Next" w:hAnsi="Avenir Next"/>
                <w:sz w:val="20"/>
                <w:szCs w:val="20"/>
                <w:lang w:val="pt-BR"/>
              </w:rPr>
            </w:pPr>
          </w:p>
        </w:tc>
      </w:tr>
      <w:tr w:rsidR="00EB6B11" w:rsidRPr="005D0DB2" w14:paraId="7FE1DD23" w14:textId="77777777" w:rsidTr="005814EB">
        <w:tc>
          <w:tcPr>
            <w:tcW w:w="4205" w:type="dxa"/>
          </w:tcPr>
          <w:p w14:paraId="2AE34B47" w14:textId="404365F1" w:rsidR="00EB6B11" w:rsidRPr="005D0DB2" w:rsidRDefault="0083311A" w:rsidP="00346C6B">
            <w:pPr>
              <w:pStyle w:val="ListParagraph"/>
              <w:numPr>
                <w:ilvl w:val="0"/>
                <w:numId w:val="15"/>
              </w:numPr>
              <w:rPr>
                <w:rFonts w:ascii="Avenir Next" w:hAnsi="Avenir Next"/>
                <w:sz w:val="20"/>
                <w:szCs w:val="20"/>
                <w:lang w:val="pt-BR"/>
              </w:rPr>
            </w:pPr>
            <w:r w:rsidRPr="005D0DB2">
              <w:rPr>
                <w:rFonts w:ascii="Avenir Next" w:hAnsi="Avenir Next"/>
                <w:sz w:val="20"/>
                <w:szCs w:val="20"/>
                <w:lang w:val="pt-BR"/>
              </w:rPr>
              <w:t>O</w:t>
            </w:r>
            <w:r w:rsidRPr="005D0DB2">
              <w:rPr>
                <w:rFonts w:ascii="Avenir Next" w:hAnsi="Avenir Next"/>
                <w:color w:val="000000"/>
                <w:sz w:val="20"/>
                <w:szCs w:val="20"/>
                <w:lang w:val="pt-BR"/>
              </w:rPr>
              <w:t xml:space="preserve">s indicadores do SIS (ou equivalente) distinguem entre o </w:t>
            </w:r>
            <w:r w:rsidRPr="005D0DB2">
              <w:rPr>
                <w:rFonts w:ascii="Avenir Next" w:hAnsi="Avenir Next"/>
                <w:color w:val="000000"/>
                <w:sz w:val="20"/>
                <w:szCs w:val="20"/>
                <w:lang w:val="pt-BR"/>
              </w:rPr>
              <w:lastRenderedPageBreak/>
              <w:t>fornecimento de informações para demonstrar que as salvaguardas de Cancún foram ‘abordadas’ e ‘respeitadas’?</w:t>
            </w:r>
          </w:p>
          <w:p w14:paraId="6CCB9E6F" w14:textId="77777777" w:rsidR="00EB6B11" w:rsidRPr="005D0DB2" w:rsidRDefault="00EB6B11" w:rsidP="00CE0AF6">
            <w:pPr>
              <w:pStyle w:val="ListParagraph"/>
              <w:rPr>
                <w:rFonts w:ascii="Avenir Next" w:hAnsi="Avenir Next"/>
                <w:sz w:val="20"/>
                <w:szCs w:val="20"/>
                <w:lang w:val="pt-BR"/>
              </w:rPr>
            </w:pPr>
          </w:p>
        </w:tc>
        <w:tc>
          <w:tcPr>
            <w:tcW w:w="2293" w:type="dxa"/>
          </w:tcPr>
          <w:p w14:paraId="5A89F8A4" w14:textId="77777777" w:rsidR="00EB6B11" w:rsidRPr="005D0DB2" w:rsidRDefault="00EB6B11" w:rsidP="00CE0AF6">
            <w:pPr>
              <w:rPr>
                <w:rFonts w:ascii="Avenir Next" w:hAnsi="Avenir Next"/>
                <w:sz w:val="20"/>
                <w:szCs w:val="20"/>
                <w:lang w:val="pt-BR"/>
              </w:rPr>
            </w:pPr>
          </w:p>
        </w:tc>
        <w:tc>
          <w:tcPr>
            <w:tcW w:w="4291" w:type="dxa"/>
          </w:tcPr>
          <w:p w14:paraId="7A149034" w14:textId="77777777" w:rsidR="00EB6B11" w:rsidRPr="005D0DB2" w:rsidRDefault="00EB6B11" w:rsidP="00CE0AF6">
            <w:pPr>
              <w:rPr>
                <w:rFonts w:ascii="Avenir Next" w:hAnsi="Avenir Next"/>
                <w:sz w:val="20"/>
                <w:szCs w:val="20"/>
                <w:lang w:val="pt-BR"/>
              </w:rPr>
            </w:pPr>
          </w:p>
        </w:tc>
        <w:tc>
          <w:tcPr>
            <w:tcW w:w="3523" w:type="dxa"/>
          </w:tcPr>
          <w:p w14:paraId="01ED18ED" w14:textId="77777777" w:rsidR="00EB6B11" w:rsidRPr="005D0DB2" w:rsidRDefault="00EB6B11" w:rsidP="00CE0AF6">
            <w:pPr>
              <w:rPr>
                <w:rFonts w:ascii="Avenir Next" w:hAnsi="Avenir Next"/>
                <w:sz w:val="20"/>
                <w:szCs w:val="20"/>
                <w:lang w:val="pt-BR"/>
              </w:rPr>
            </w:pPr>
          </w:p>
        </w:tc>
      </w:tr>
      <w:tr w:rsidR="00EB6B11" w:rsidRPr="005D0DB2" w14:paraId="7D3AA684" w14:textId="77777777" w:rsidTr="005814EB">
        <w:tc>
          <w:tcPr>
            <w:tcW w:w="4205" w:type="dxa"/>
          </w:tcPr>
          <w:p w14:paraId="16ED8BE5" w14:textId="2827F662" w:rsidR="00EB6B11" w:rsidRPr="005D0DB2" w:rsidRDefault="0083311A" w:rsidP="00346C6B">
            <w:pPr>
              <w:pStyle w:val="ListParagraph"/>
              <w:numPr>
                <w:ilvl w:val="0"/>
                <w:numId w:val="15"/>
              </w:numPr>
              <w:rPr>
                <w:rFonts w:ascii="Avenir Next" w:hAnsi="Avenir Next"/>
                <w:sz w:val="20"/>
                <w:szCs w:val="20"/>
                <w:lang w:val="pt-BR"/>
              </w:rPr>
            </w:pPr>
            <w:r w:rsidRPr="005D0DB2">
              <w:rPr>
                <w:rFonts w:ascii="Avenir Next" w:hAnsi="Avenir Next"/>
                <w:color w:val="000000"/>
                <w:sz w:val="20"/>
                <w:szCs w:val="20"/>
                <w:lang w:val="pt-BR"/>
              </w:rPr>
              <w:t>Se relevante, esses indicadores cobrem todos os indicadores de ‘estrutura, processo e resultado’ do TREES?</w:t>
            </w:r>
            <w:r w:rsidR="00EB6B11" w:rsidRPr="005D0DB2">
              <w:rPr>
                <w:rStyle w:val="FootnoteReference"/>
                <w:rFonts w:ascii="Avenir Next" w:hAnsi="Avenir Next"/>
                <w:sz w:val="20"/>
                <w:szCs w:val="20"/>
                <w:lang w:val="pt-BR"/>
              </w:rPr>
              <w:footnoteReference w:id="15"/>
            </w:r>
          </w:p>
          <w:p w14:paraId="321C841E" w14:textId="77777777" w:rsidR="00EB6B11" w:rsidRPr="005D0DB2" w:rsidRDefault="00EB6B11" w:rsidP="00CE0AF6">
            <w:pPr>
              <w:rPr>
                <w:rFonts w:ascii="Avenir Next" w:hAnsi="Avenir Next"/>
                <w:sz w:val="20"/>
                <w:szCs w:val="20"/>
                <w:lang w:val="pt-BR"/>
              </w:rPr>
            </w:pPr>
          </w:p>
        </w:tc>
        <w:tc>
          <w:tcPr>
            <w:tcW w:w="2293" w:type="dxa"/>
          </w:tcPr>
          <w:p w14:paraId="0B054805" w14:textId="77777777" w:rsidR="00EB6B11" w:rsidRPr="005D0DB2" w:rsidRDefault="00EB6B11" w:rsidP="00CE0AF6">
            <w:pPr>
              <w:rPr>
                <w:rFonts w:ascii="Avenir Next" w:hAnsi="Avenir Next"/>
                <w:sz w:val="20"/>
                <w:szCs w:val="20"/>
                <w:lang w:val="pt-BR"/>
              </w:rPr>
            </w:pPr>
          </w:p>
        </w:tc>
        <w:tc>
          <w:tcPr>
            <w:tcW w:w="4291" w:type="dxa"/>
          </w:tcPr>
          <w:p w14:paraId="64A8A87A" w14:textId="77777777" w:rsidR="00EB6B11" w:rsidRPr="005D0DB2" w:rsidRDefault="00EB6B11" w:rsidP="00CE0AF6">
            <w:pPr>
              <w:rPr>
                <w:rFonts w:ascii="Avenir Next" w:hAnsi="Avenir Next"/>
                <w:sz w:val="20"/>
                <w:szCs w:val="20"/>
                <w:lang w:val="pt-BR"/>
              </w:rPr>
            </w:pPr>
          </w:p>
        </w:tc>
        <w:tc>
          <w:tcPr>
            <w:tcW w:w="3523" w:type="dxa"/>
          </w:tcPr>
          <w:p w14:paraId="35544728" w14:textId="77777777" w:rsidR="00EB6B11" w:rsidRPr="005D0DB2" w:rsidRDefault="00EB6B11" w:rsidP="00CE0AF6">
            <w:pPr>
              <w:rPr>
                <w:rFonts w:ascii="Avenir Next" w:hAnsi="Avenir Next"/>
                <w:sz w:val="20"/>
                <w:szCs w:val="20"/>
                <w:lang w:val="pt-BR"/>
              </w:rPr>
            </w:pPr>
          </w:p>
        </w:tc>
      </w:tr>
    </w:tbl>
    <w:p w14:paraId="796D4727" w14:textId="77777777" w:rsidR="00EB6B11" w:rsidRPr="005814EB" w:rsidRDefault="00EB6B11" w:rsidP="00EB6B11">
      <w:pPr>
        <w:spacing w:before="120" w:after="120" w:line="336" w:lineRule="auto"/>
        <w:rPr>
          <w:rFonts w:ascii="Avenir Next" w:hAnsi="Avenir Next"/>
          <w:sz w:val="20"/>
          <w:szCs w:val="20"/>
          <w:lang w:val="pt-BR"/>
        </w:rPr>
      </w:pPr>
    </w:p>
    <w:p w14:paraId="704F9A4D" w14:textId="77777777" w:rsidR="00EB6B11" w:rsidRPr="005814EB" w:rsidRDefault="00EB6B11" w:rsidP="00EB6B11">
      <w:pPr>
        <w:spacing w:before="120" w:after="120" w:line="336" w:lineRule="auto"/>
        <w:rPr>
          <w:rFonts w:ascii="Montserrat" w:eastAsia="Montserrat" w:hAnsi="Montserrat" w:cs="Montserrat"/>
          <w:color w:val="00646A"/>
          <w:sz w:val="64"/>
          <w:szCs w:val="64"/>
          <w:lang w:val="pt-BR"/>
        </w:rPr>
        <w:sectPr w:rsidR="00EB6B11" w:rsidRPr="005814EB" w:rsidSect="00DB7493">
          <w:pgSz w:w="16845" w:h="11910" w:orient="landscape"/>
          <w:pgMar w:top="1440" w:right="1440" w:bottom="1440" w:left="1440" w:header="720" w:footer="720" w:gutter="0"/>
          <w:cols w:space="720"/>
          <w:docGrid w:linePitch="326"/>
        </w:sectPr>
      </w:pPr>
    </w:p>
    <w:p w14:paraId="38DF74D5" w14:textId="5A4751F3" w:rsidR="00EB6B11" w:rsidRPr="005814EB" w:rsidRDefault="0083311A" w:rsidP="00EB6B11">
      <w:pPr>
        <w:spacing w:before="120" w:after="120" w:line="336" w:lineRule="auto"/>
        <w:rPr>
          <w:rFonts w:ascii="Bodoni 72 Book" w:hAnsi="Bodoni 72 Book"/>
          <w:lang w:val="pt-BR"/>
        </w:rPr>
      </w:pPr>
      <w:r>
        <w:rPr>
          <w:rFonts w:ascii="Bodoni 72 Book" w:eastAsia="Montserrat" w:hAnsi="Bodoni 72 Book" w:cs="Montserrat"/>
          <w:color w:val="00646A"/>
          <w:sz w:val="64"/>
          <w:szCs w:val="64"/>
          <w:lang w:val="pt-BR"/>
        </w:rPr>
        <w:lastRenderedPageBreak/>
        <w:t>Parte</w:t>
      </w:r>
      <w:r w:rsidR="00EB6B11" w:rsidRPr="005814EB">
        <w:rPr>
          <w:rFonts w:ascii="Bodoni 72 Book" w:eastAsia="Montserrat" w:hAnsi="Bodoni 72 Book" w:cs="Montserrat"/>
          <w:color w:val="00646A"/>
          <w:sz w:val="64"/>
          <w:szCs w:val="64"/>
          <w:lang w:val="pt-BR"/>
        </w:rPr>
        <w:t xml:space="preserve"> B - </w:t>
      </w:r>
      <w:r w:rsidRPr="0083311A">
        <w:rPr>
          <w:rFonts w:ascii="Bodoni 72 Book" w:eastAsia="Montserrat" w:hAnsi="Bodoni 72 Book" w:cs="Montserrat"/>
          <w:color w:val="00646A"/>
          <w:sz w:val="64"/>
          <w:szCs w:val="64"/>
          <w:lang w:val="pt-BR"/>
        </w:rPr>
        <w:t>Modelo de Relatório para a Avaliação Qualitativa</w:t>
      </w:r>
    </w:p>
    <w:p w14:paraId="6F91E8C4" w14:textId="77777777" w:rsidR="00EB6B11" w:rsidRPr="005814EB" w:rsidRDefault="00EB6B11" w:rsidP="00EB6B11">
      <w:pPr>
        <w:pBdr>
          <w:bottom w:val="single" w:sz="6" w:space="0" w:color="076C72"/>
        </w:pBdr>
        <w:spacing w:before="120" w:after="120" w:line="0" w:lineRule="auto"/>
        <w:rPr>
          <w:lang w:val="pt-BR"/>
        </w:rPr>
      </w:pPr>
    </w:p>
    <w:p w14:paraId="2664E665" w14:textId="77777777" w:rsidR="0083311A" w:rsidRDefault="0083311A" w:rsidP="0083311A">
      <w:p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 xml:space="preserve">Para completar este modelo de relatório, os usuários (com o apoio de uma organização internacional especializada selecionada) devem considerar as respostas fornecidas na 'Parte A' acima. Ao completar este modelo, os usuários </w:t>
      </w:r>
      <w:r>
        <w:rPr>
          <w:rFonts w:ascii="Avenir Next" w:eastAsia="IBM Plex Sans" w:hAnsi="Avenir Next" w:cs="IBM Plex Sans"/>
          <w:color w:val="000000"/>
          <w:sz w:val="20"/>
          <w:szCs w:val="20"/>
          <w:lang w:val="pt-BR"/>
        </w:rPr>
        <w:t>devem</w:t>
      </w:r>
      <w:r w:rsidRPr="0083311A">
        <w:rPr>
          <w:rFonts w:ascii="Avenir Next" w:eastAsia="IBM Plex Sans" w:hAnsi="Avenir Next" w:cs="IBM Plex Sans"/>
          <w:color w:val="000000"/>
          <w:sz w:val="20"/>
          <w:szCs w:val="20"/>
          <w:lang w:val="pt-BR"/>
        </w:rPr>
        <w:t xml:space="preserve"> considerar o escopo de cada coluna da seguinte forma:</w:t>
      </w:r>
      <w:r>
        <w:rPr>
          <w:rFonts w:ascii="Avenir Next" w:eastAsia="IBM Plex Sans" w:hAnsi="Avenir Next" w:cs="IBM Plex Sans"/>
          <w:color w:val="000000"/>
          <w:sz w:val="20"/>
          <w:szCs w:val="20"/>
          <w:lang w:val="pt-BR"/>
        </w:rPr>
        <w:t xml:space="preserve"> </w:t>
      </w:r>
    </w:p>
    <w:p w14:paraId="57DD30B1" w14:textId="0ED59AFA" w:rsidR="0083311A" w:rsidRPr="005D0DB2" w:rsidRDefault="0083311A" w:rsidP="005D0DB2">
      <w:pPr>
        <w:pStyle w:val="ListParagraph"/>
        <w:numPr>
          <w:ilvl w:val="0"/>
          <w:numId w:val="22"/>
        </w:numPr>
        <w:spacing w:before="120" w:after="120" w:line="336" w:lineRule="auto"/>
        <w:rPr>
          <w:rFonts w:ascii="Avenir Next" w:eastAsia="IBM Plex Sans" w:hAnsi="Avenir Next" w:cs="IBM Plex Sans"/>
          <w:color w:val="000000"/>
          <w:sz w:val="20"/>
          <w:szCs w:val="20"/>
          <w:lang w:val="pt-BR"/>
        </w:rPr>
      </w:pPr>
      <w:r w:rsidRPr="005D0DB2">
        <w:rPr>
          <w:rFonts w:ascii="Avenir Next" w:eastAsia="IBM Plex Sans" w:hAnsi="Avenir Next" w:cs="IBM Plex Sans"/>
          <w:color w:val="000000"/>
          <w:sz w:val="20"/>
          <w:szCs w:val="20"/>
          <w:lang w:val="pt-BR"/>
        </w:rPr>
        <w:t>Coluna 2 (Lacunas Identificadas): para os usuários identificarem e resumirem as principais lacunas (questões de não conformidade) identificadas em correlação com cada uma das características do SIS, ou seja, quando a pontuação identificada foi 'Parcialmente' ou 'Não' na 'Parte A'. Há também uma oportunidade de identificar lacunas ou deficiências gerais.</w:t>
      </w:r>
      <w:r w:rsidR="005D0DB2" w:rsidRPr="005D0DB2">
        <w:rPr>
          <w:rFonts w:ascii="Avenir Next" w:eastAsia="IBM Plex Sans" w:hAnsi="Avenir Next" w:cs="IBM Plex Sans"/>
          <w:color w:val="000000"/>
          <w:sz w:val="20"/>
          <w:szCs w:val="20"/>
          <w:lang w:val="pt-BR"/>
        </w:rPr>
        <w:t xml:space="preserve"> É também uma oportunidade para identificar lacunas ou deficiências gerais.</w:t>
      </w:r>
    </w:p>
    <w:p w14:paraId="4798A87A" w14:textId="5DECA757" w:rsidR="00EB6B11" w:rsidRPr="005D0DB2" w:rsidRDefault="0083311A" w:rsidP="005D0DB2">
      <w:pPr>
        <w:pStyle w:val="ListParagraph"/>
        <w:numPr>
          <w:ilvl w:val="0"/>
          <w:numId w:val="21"/>
        </w:num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Coluna 3 (Recomendações): para os usuários identificarem ações/recomendações a serem tomadas para resolver essas principais deficiências ou lacunas.</w:t>
      </w:r>
    </w:p>
    <w:tbl>
      <w:tblPr>
        <w:tblStyle w:val="TableGrid"/>
        <w:tblW w:w="5000" w:type="pct"/>
        <w:tblBorders>
          <w:top w:val="single" w:sz="6" w:space="0" w:color="00626A"/>
          <w:left w:val="single" w:sz="6" w:space="0" w:color="00626A"/>
          <w:bottom w:val="single" w:sz="6" w:space="0" w:color="00626A"/>
          <w:right w:val="single" w:sz="6" w:space="0" w:color="00626A"/>
          <w:insideH w:val="single" w:sz="6" w:space="0" w:color="00626A"/>
          <w:insideV w:val="single" w:sz="6" w:space="0" w:color="00626A"/>
        </w:tblBorders>
        <w:tblLook w:val="04A0" w:firstRow="1" w:lastRow="0" w:firstColumn="1" w:lastColumn="0" w:noHBand="0" w:noVBand="1"/>
      </w:tblPr>
      <w:tblGrid>
        <w:gridCol w:w="2788"/>
        <w:gridCol w:w="5723"/>
        <w:gridCol w:w="5670"/>
      </w:tblGrid>
      <w:tr w:rsidR="00EB6B11" w:rsidRPr="005814EB" w14:paraId="00C8E6E6" w14:textId="77777777" w:rsidTr="00BD6BED">
        <w:tc>
          <w:tcPr>
            <w:tcW w:w="983" w:type="pct"/>
            <w:shd w:val="clear" w:color="auto" w:fill="00626A"/>
            <w:vAlign w:val="center"/>
          </w:tcPr>
          <w:p w14:paraId="63CA2276" w14:textId="6B0F9D70" w:rsidR="00EB6B11" w:rsidRPr="005814EB" w:rsidRDefault="00EB6B11" w:rsidP="00BD6BED">
            <w:pPr>
              <w:jc w:val="center"/>
              <w:rPr>
                <w:rFonts w:ascii="Bodoni 72 Book" w:hAnsi="Bodoni 72 Book"/>
                <w:color w:val="FFFFFF" w:themeColor="background1"/>
                <w:sz w:val="22"/>
                <w:szCs w:val="22"/>
                <w:lang w:val="pt-BR"/>
              </w:rPr>
            </w:pPr>
            <w:r w:rsidRPr="005814EB">
              <w:rPr>
                <w:rFonts w:ascii="Bodoni 72 Book" w:hAnsi="Bodoni 72 Book"/>
                <w:color w:val="FFFFFF" w:themeColor="background1"/>
                <w:sz w:val="22"/>
                <w:szCs w:val="22"/>
                <w:lang w:val="pt-BR"/>
              </w:rPr>
              <w:t xml:space="preserve">Características </w:t>
            </w:r>
            <w:r w:rsidR="005D0DB2">
              <w:rPr>
                <w:rFonts w:ascii="Bodoni 72 Book" w:hAnsi="Bodoni 72 Book"/>
                <w:color w:val="FFFFFF" w:themeColor="background1"/>
                <w:sz w:val="22"/>
                <w:szCs w:val="22"/>
                <w:lang w:val="pt-BR"/>
              </w:rPr>
              <w:t>do</w:t>
            </w:r>
            <w:r w:rsidRPr="005814EB">
              <w:rPr>
                <w:rFonts w:ascii="Bodoni 72 Book" w:hAnsi="Bodoni 72 Book"/>
                <w:color w:val="FFFFFF" w:themeColor="background1"/>
                <w:sz w:val="22"/>
                <w:szCs w:val="22"/>
                <w:lang w:val="pt-BR"/>
              </w:rPr>
              <w:t xml:space="preserve"> SIS</w:t>
            </w:r>
          </w:p>
        </w:tc>
        <w:tc>
          <w:tcPr>
            <w:tcW w:w="2018" w:type="pct"/>
            <w:shd w:val="clear" w:color="auto" w:fill="00626A"/>
            <w:vAlign w:val="center"/>
          </w:tcPr>
          <w:p w14:paraId="5C990459" w14:textId="569D8433" w:rsidR="00EB6B11" w:rsidRPr="005814EB" w:rsidRDefault="005D0DB2" w:rsidP="00BD6BED">
            <w:pPr>
              <w:jc w:val="center"/>
              <w:rPr>
                <w:rFonts w:ascii="Bodoni 72 Book" w:hAnsi="Bodoni 72 Book"/>
                <w:color w:val="FFFFFF" w:themeColor="background1"/>
                <w:sz w:val="22"/>
                <w:szCs w:val="22"/>
                <w:lang w:val="pt-BR"/>
              </w:rPr>
            </w:pPr>
            <w:r>
              <w:rPr>
                <w:rFonts w:ascii="Bodoni 72 Book" w:hAnsi="Bodoni 72 Book"/>
                <w:color w:val="FFFFFF" w:themeColor="background1"/>
                <w:sz w:val="22"/>
                <w:szCs w:val="22"/>
                <w:lang w:val="pt-BR"/>
              </w:rPr>
              <w:t>L</w:t>
            </w:r>
            <w:r w:rsidR="00EB6B11" w:rsidRPr="005814EB">
              <w:rPr>
                <w:rFonts w:ascii="Bodoni 72 Book" w:hAnsi="Bodoni 72 Book"/>
                <w:color w:val="FFFFFF" w:themeColor="background1"/>
                <w:sz w:val="22"/>
                <w:szCs w:val="22"/>
                <w:lang w:val="pt-BR"/>
              </w:rPr>
              <w:t>a</w:t>
            </w:r>
            <w:r>
              <w:rPr>
                <w:rFonts w:ascii="Bodoni 72 Book" w:hAnsi="Bodoni 72 Book"/>
                <w:color w:val="FFFFFF" w:themeColor="background1"/>
                <w:sz w:val="22"/>
                <w:szCs w:val="22"/>
                <w:lang w:val="pt-BR"/>
              </w:rPr>
              <w:t>c</w:t>
            </w:r>
            <w:r w:rsidR="00EB6B11" w:rsidRPr="005814EB">
              <w:rPr>
                <w:rFonts w:ascii="Bodoni 72 Book" w:hAnsi="Bodoni 72 Book"/>
                <w:color w:val="FFFFFF" w:themeColor="background1"/>
                <w:sz w:val="22"/>
                <w:szCs w:val="22"/>
                <w:lang w:val="pt-BR"/>
              </w:rPr>
              <w:t>unas identificadas</w:t>
            </w:r>
          </w:p>
        </w:tc>
        <w:tc>
          <w:tcPr>
            <w:tcW w:w="1999" w:type="pct"/>
            <w:shd w:val="clear" w:color="auto" w:fill="00626A"/>
            <w:vAlign w:val="center"/>
          </w:tcPr>
          <w:p w14:paraId="7548B15B" w14:textId="5ED8127C" w:rsidR="00EB6B11" w:rsidRPr="005814EB" w:rsidRDefault="005D0DB2" w:rsidP="00BD6BED">
            <w:pPr>
              <w:jc w:val="center"/>
              <w:rPr>
                <w:rFonts w:ascii="Bodoni 72 Book" w:hAnsi="Bodoni 72 Book"/>
                <w:color w:val="FFFFFF" w:themeColor="background1"/>
                <w:sz w:val="22"/>
                <w:szCs w:val="22"/>
                <w:lang w:val="pt-BR"/>
              </w:rPr>
            </w:pPr>
            <w:r w:rsidRPr="005814EB">
              <w:rPr>
                <w:rFonts w:ascii="Bodoni 72 Book" w:hAnsi="Bodoni 72 Book"/>
                <w:color w:val="FFFFFF" w:themeColor="background1"/>
                <w:sz w:val="22"/>
                <w:szCs w:val="22"/>
                <w:lang w:val="pt-BR"/>
              </w:rPr>
              <w:t>Recomendações</w:t>
            </w:r>
            <w:r w:rsidR="00EB6B11" w:rsidRPr="005814EB">
              <w:rPr>
                <w:rFonts w:ascii="Bodoni 72 Book" w:hAnsi="Bodoni 72 Book"/>
                <w:color w:val="FFFFFF" w:themeColor="background1"/>
                <w:sz w:val="22"/>
                <w:szCs w:val="22"/>
                <w:lang w:val="pt-BR"/>
              </w:rPr>
              <w:t xml:space="preserve"> para SIS o</w:t>
            </w:r>
            <w:r>
              <w:rPr>
                <w:rFonts w:ascii="Bodoni 72 Book" w:hAnsi="Bodoni 72 Book"/>
                <w:color w:val="FFFFFF" w:themeColor="background1"/>
                <w:sz w:val="22"/>
                <w:szCs w:val="22"/>
                <w:lang w:val="pt-BR"/>
              </w:rPr>
              <w:t>u</w:t>
            </w:r>
            <w:r w:rsidR="00EB6B11" w:rsidRPr="005814EB">
              <w:rPr>
                <w:rFonts w:ascii="Bodoni 72 Book" w:hAnsi="Bodoni 72 Book"/>
                <w:color w:val="FFFFFF" w:themeColor="background1"/>
                <w:sz w:val="22"/>
                <w:szCs w:val="22"/>
                <w:lang w:val="pt-BR"/>
              </w:rPr>
              <w:t xml:space="preserve"> equivalente</w:t>
            </w:r>
          </w:p>
        </w:tc>
      </w:tr>
      <w:tr w:rsidR="00EB6B11" w:rsidRPr="005814EB" w14:paraId="541A0D7C" w14:textId="77777777" w:rsidTr="00BD6BED">
        <w:trPr>
          <w:trHeight w:val="678"/>
        </w:trPr>
        <w:tc>
          <w:tcPr>
            <w:tcW w:w="983" w:type="pct"/>
            <w:shd w:val="clear" w:color="auto" w:fill="BDCEC9"/>
            <w:vAlign w:val="center"/>
          </w:tcPr>
          <w:p w14:paraId="364EBC2E" w14:textId="3BDE26BF" w:rsidR="00EB6B11" w:rsidRPr="005814EB" w:rsidRDefault="00EB6B11" w:rsidP="00BD6BED">
            <w:pPr>
              <w:rPr>
                <w:rFonts w:ascii="Avenir Next" w:hAnsi="Avenir Next"/>
                <w:sz w:val="22"/>
                <w:szCs w:val="22"/>
                <w:lang w:val="pt-BR"/>
              </w:rPr>
            </w:pPr>
            <w:r w:rsidRPr="005814EB">
              <w:rPr>
                <w:rFonts w:ascii="Avenir Next" w:hAnsi="Avenir Next"/>
                <w:sz w:val="22"/>
                <w:szCs w:val="22"/>
                <w:lang w:val="pt-BR"/>
              </w:rPr>
              <w:t>Impuls</w:t>
            </w:r>
            <w:r w:rsidR="005D0DB2">
              <w:rPr>
                <w:rFonts w:ascii="Avenir Next" w:hAnsi="Avenir Next"/>
                <w:sz w:val="22"/>
                <w:szCs w:val="22"/>
                <w:lang w:val="pt-BR"/>
              </w:rPr>
              <w:t>ion</w:t>
            </w:r>
            <w:r w:rsidRPr="005814EB">
              <w:rPr>
                <w:rFonts w:ascii="Avenir Next" w:hAnsi="Avenir Next"/>
                <w:sz w:val="22"/>
                <w:szCs w:val="22"/>
                <w:lang w:val="pt-BR"/>
              </w:rPr>
              <w:t>ado p</w:t>
            </w:r>
            <w:r w:rsidR="005D0DB2">
              <w:rPr>
                <w:rFonts w:ascii="Avenir Next" w:hAnsi="Avenir Next"/>
                <w:sz w:val="22"/>
                <w:szCs w:val="22"/>
                <w:lang w:val="pt-BR"/>
              </w:rPr>
              <w:t>e</w:t>
            </w:r>
            <w:r w:rsidRPr="005814EB">
              <w:rPr>
                <w:rFonts w:ascii="Avenir Next" w:hAnsi="Avenir Next"/>
                <w:sz w:val="22"/>
                <w:szCs w:val="22"/>
                <w:lang w:val="pt-BR"/>
              </w:rPr>
              <w:t>l</w:t>
            </w:r>
            <w:r w:rsidR="005D0DB2">
              <w:rPr>
                <w:rFonts w:ascii="Avenir Next" w:hAnsi="Avenir Next"/>
                <w:sz w:val="22"/>
                <w:szCs w:val="22"/>
                <w:lang w:val="pt-BR"/>
              </w:rPr>
              <w:t>o</w:t>
            </w:r>
            <w:r w:rsidRPr="005814EB">
              <w:rPr>
                <w:rFonts w:ascii="Avenir Next" w:hAnsi="Avenir Next"/>
                <w:sz w:val="22"/>
                <w:szCs w:val="22"/>
                <w:lang w:val="pt-BR"/>
              </w:rPr>
              <w:t xml:space="preserve"> país</w:t>
            </w:r>
          </w:p>
        </w:tc>
        <w:tc>
          <w:tcPr>
            <w:tcW w:w="2018" w:type="pct"/>
          </w:tcPr>
          <w:p w14:paraId="0595F427" w14:textId="77777777" w:rsidR="00EB6B11" w:rsidRPr="005814EB" w:rsidRDefault="00EB6B11" w:rsidP="00CE0AF6">
            <w:pPr>
              <w:rPr>
                <w:rFonts w:ascii="Avenir Next" w:hAnsi="Avenir Next"/>
                <w:sz w:val="22"/>
                <w:szCs w:val="22"/>
                <w:lang w:val="pt-BR"/>
              </w:rPr>
            </w:pPr>
          </w:p>
        </w:tc>
        <w:tc>
          <w:tcPr>
            <w:tcW w:w="1999" w:type="pct"/>
          </w:tcPr>
          <w:p w14:paraId="64C42706" w14:textId="77777777" w:rsidR="00EB6B11" w:rsidRPr="005814EB" w:rsidRDefault="00EB6B11" w:rsidP="00CE0AF6">
            <w:pPr>
              <w:spacing w:before="40" w:after="40"/>
              <w:rPr>
                <w:rFonts w:ascii="Avenir Next" w:hAnsi="Avenir Next" w:cs="Arial"/>
                <w:sz w:val="22"/>
                <w:szCs w:val="22"/>
                <w:lang w:val="pt-BR"/>
              </w:rPr>
            </w:pPr>
          </w:p>
        </w:tc>
      </w:tr>
      <w:tr w:rsidR="00EB6B11" w:rsidRPr="005814EB" w14:paraId="7B2F2E84" w14:textId="77777777" w:rsidTr="00BD6BED">
        <w:trPr>
          <w:trHeight w:val="534"/>
        </w:trPr>
        <w:tc>
          <w:tcPr>
            <w:tcW w:w="983" w:type="pct"/>
            <w:shd w:val="clear" w:color="auto" w:fill="BDCEC9"/>
            <w:vAlign w:val="center"/>
          </w:tcPr>
          <w:p w14:paraId="06843501" w14:textId="7F45A5DA" w:rsidR="00EB6B11" w:rsidRPr="005814EB" w:rsidRDefault="005D0DB2" w:rsidP="00BD6BED">
            <w:pPr>
              <w:rPr>
                <w:rFonts w:ascii="Avenir Next" w:hAnsi="Avenir Next" w:cs="Calibri"/>
                <w:color w:val="000000" w:themeColor="text1"/>
                <w:sz w:val="22"/>
                <w:szCs w:val="22"/>
                <w:lang w:val="pt-BR"/>
              </w:rPr>
            </w:pPr>
            <w:r w:rsidRPr="005814EB">
              <w:rPr>
                <w:rFonts w:ascii="Avenir Next" w:hAnsi="Avenir Next" w:cs="Calibri"/>
                <w:color w:val="000000" w:themeColor="text1"/>
                <w:sz w:val="22"/>
                <w:szCs w:val="22"/>
                <w:lang w:val="pt-BR"/>
              </w:rPr>
              <w:t>Transparência</w:t>
            </w:r>
          </w:p>
        </w:tc>
        <w:tc>
          <w:tcPr>
            <w:tcW w:w="2018" w:type="pct"/>
          </w:tcPr>
          <w:p w14:paraId="18F20A82" w14:textId="77777777" w:rsidR="00EB6B11" w:rsidRPr="005814EB" w:rsidRDefault="00EB6B11" w:rsidP="00CE0AF6">
            <w:pPr>
              <w:rPr>
                <w:rFonts w:ascii="Avenir Next" w:hAnsi="Avenir Next"/>
                <w:sz w:val="22"/>
                <w:szCs w:val="22"/>
                <w:lang w:val="pt-BR"/>
              </w:rPr>
            </w:pPr>
          </w:p>
        </w:tc>
        <w:tc>
          <w:tcPr>
            <w:tcW w:w="1999" w:type="pct"/>
          </w:tcPr>
          <w:p w14:paraId="1889D7F9" w14:textId="77777777" w:rsidR="00EB6B11" w:rsidRPr="005814EB" w:rsidRDefault="00EB6B11" w:rsidP="00CE0AF6">
            <w:pPr>
              <w:rPr>
                <w:rFonts w:ascii="Avenir Next" w:hAnsi="Avenir Next"/>
                <w:sz w:val="22"/>
                <w:szCs w:val="22"/>
                <w:lang w:val="pt-BR"/>
              </w:rPr>
            </w:pPr>
          </w:p>
        </w:tc>
      </w:tr>
      <w:tr w:rsidR="00EB6B11" w:rsidRPr="005814EB" w14:paraId="474DB592" w14:textId="77777777" w:rsidTr="00BD6BED">
        <w:trPr>
          <w:trHeight w:val="435"/>
        </w:trPr>
        <w:tc>
          <w:tcPr>
            <w:tcW w:w="983" w:type="pct"/>
            <w:shd w:val="clear" w:color="auto" w:fill="BDCEC9"/>
            <w:vAlign w:val="center"/>
          </w:tcPr>
          <w:p w14:paraId="5C186D98" w14:textId="2A1B1C8F" w:rsidR="00EB6B11" w:rsidRPr="005814EB" w:rsidRDefault="005D0DB2" w:rsidP="00BD6BED">
            <w:pPr>
              <w:rPr>
                <w:rFonts w:ascii="Avenir Next" w:hAnsi="Avenir Next"/>
                <w:sz w:val="22"/>
                <w:szCs w:val="22"/>
                <w:lang w:val="pt-BR"/>
              </w:rPr>
            </w:pPr>
            <w:r w:rsidRPr="005814EB">
              <w:rPr>
                <w:rFonts w:ascii="Avenir Next" w:hAnsi="Avenir Next"/>
                <w:sz w:val="22"/>
                <w:szCs w:val="22"/>
                <w:lang w:val="pt-BR"/>
              </w:rPr>
              <w:t>Acessibilidade</w:t>
            </w:r>
          </w:p>
        </w:tc>
        <w:tc>
          <w:tcPr>
            <w:tcW w:w="2018" w:type="pct"/>
          </w:tcPr>
          <w:p w14:paraId="303152C9" w14:textId="77777777" w:rsidR="00EB6B11" w:rsidRPr="005814EB" w:rsidRDefault="00EB6B11" w:rsidP="00CE0AF6">
            <w:pPr>
              <w:rPr>
                <w:rFonts w:ascii="Avenir Next" w:hAnsi="Avenir Next"/>
                <w:sz w:val="22"/>
                <w:szCs w:val="22"/>
                <w:lang w:val="pt-BR"/>
              </w:rPr>
            </w:pPr>
          </w:p>
        </w:tc>
        <w:tc>
          <w:tcPr>
            <w:tcW w:w="1999" w:type="pct"/>
          </w:tcPr>
          <w:p w14:paraId="6F41B871" w14:textId="77777777" w:rsidR="00EB6B11" w:rsidRPr="005814EB" w:rsidRDefault="00EB6B11" w:rsidP="00CE0AF6">
            <w:pPr>
              <w:rPr>
                <w:rFonts w:ascii="Avenir Next" w:hAnsi="Avenir Next"/>
                <w:sz w:val="22"/>
                <w:szCs w:val="22"/>
                <w:lang w:val="pt-BR"/>
              </w:rPr>
            </w:pPr>
          </w:p>
        </w:tc>
      </w:tr>
      <w:tr w:rsidR="00EB6B11" w:rsidRPr="005814EB" w14:paraId="29A4E6E3" w14:textId="77777777" w:rsidTr="00BD6BED">
        <w:trPr>
          <w:trHeight w:val="435"/>
        </w:trPr>
        <w:tc>
          <w:tcPr>
            <w:tcW w:w="983" w:type="pct"/>
            <w:shd w:val="clear" w:color="auto" w:fill="BDCEC9"/>
            <w:vAlign w:val="center"/>
          </w:tcPr>
          <w:p w14:paraId="0B3B78E2" w14:textId="77421F78" w:rsidR="00EB6B11" w:rsidRPr="005814EB" w:rsidRDefault="005D0DB2" w:rsidP="00BD6BED">
            <w:pPr>
              <w:rPr>
                <w:rFonts w:ascii="Avenir Next" w:hAnsi="Avenir Next"/>
                <w:sz w:val="22"/>
                <w:szCs w:val="22"/>
                <w:lang w:val="pt-BR"/>
              </w:rPr>
            </w:pPr>
            <w:r w:rsidRPr="005814EB">
              <w:rPr>
                <w:rFonts w:ascii="Avenir Next" w:hAnsi="Avenir Next"/>
                <w:sz w:val="22"/>
                <w:szCs w:val="22"/>
                <w:lang w:val="pt-BR"/>
              </w:rPr>
              <w:t>Flexibilidade</w:t>
            </w:r>
          </w:p>
        </w:tc>
        <w:tc>
          <w:tcPr>
            <w:tcW w:w="2018" w:type="pct"/>
          </w:tcPr>
          <w:p w14:paraId="03993D96" w14:textId="77777777" w:rsidR="00EB6B11" w:rsidRPr="005814EB" w:rsidRDefault="00EB6B11" w:rsidP="00CE0AF6">
            <w:pPr>
              <w:rPr>
                <w:rFonts w:ascii="Avenir Next" w:hAnsi="Avenir Next"/>
                <w:sz w:val="22"/>
                <w:szCs w:val="22"/>
                <w:lang w:val="pt-BR"/>
              </w:rPr>
            </w:pPr>
          </w:p>
        </w:tc>
        <w:tc>
          <w:tcPr>
            <w:tcW w:w="1999" w:type="pct"/>
          </w:tcPr>
          <w:p w14:paraId="28DC61E9" w14:textId="77777777" w:rsidR="00EB6B11" w:rsidRPr="005814EB" w:rsidRDefault="00EB6B11" w:rsidP="00CE0AF6">
            <w:pPr>
              <w:rPr>
                <w:rFonts w:ascii="Avenir Next" w:hAnsi="Avenir Next"/>
                <w:sz w:val="22"/>
                <w:szCs w:val="22"/>
                <w:lang w:val="pt-BR"/>
              </w:rPr>
            </w:pPr>
          </w:p>
        </w:tc>
      </w:tr>
      <w:tr w:rsidR="00EB6B11" w:rsidRPr="005814EB" w14:paraId="30B17CE3" w14:textId="77777777" w:rsidTr="00BD6BED">
        <w:tc>
          <w:tcPr>
            <w:tcW w:w="983" w:type="pct"/>
            <w:shd w:val="clear" w:color="auto" w:fill="BDCEC9"/>
            <w:vAlign w:val="center"/>
          </w:tcPr>
          <w:p w14:paraId="363A51A1" w14:textId="3CE8F068" w:rsidR="00EB6B11" w:rsidRPr="005814EB" w:rsidRDefault="005D0DB2" w:rsidP="00BD6BED">
            <w:pPr>
              <w:rPr>
                <w:rFonts w:ascii="Avenir Next" w:hAnsi="Avenir Next"/>
                <w:sz w:val="22"/>
                <w:szCs w:val="22"/>
                <w:lang w:val="pt-BR"/>
              </w:rPr>
            </w:pPr>
            <w:r>
              <w:rPr>
                <w:rFonts w:ascii="Avenir Next" w:hAnsi="Avenir Next"/>
                <w:sz w:val="22"/>
                <w:szCs w:val="22"/>
                <w:lang w:val="pt-BR"/>
              </w:rPr>
              <w:t>Integralidade</w:t>
            </w:r>
          </w:p>
        </w:tc>
        <w:tc>
          <w:tcPr>
            <w:tcW w:w="2018" w:type="pct"/>
          </w:tcPr>
          <w:p w14:paraId="765A6C0B" w14:textId="77777777" w:rsidR="00EB6B11" w:rsidRPr="005814EB" w:rsidRDefault="00EB6B11" w:rsidP="00CE0AF6">
            <w:pPr>
              <w:rPr>
                <w:rFonts w:ascii="Avenir Next" w:hAnsi="Avenir Next"/>
                <w:sz w:val="22"/>
                <w:szCs w:val="22"/>
                <w:lang w:val="pt-BR"/>
              </w:rPr>
            </w:pPr>
          </w:p>
        </w:tc>
        <w:tc>
          <w:tcPr>
            <w:tcW w:w="1999" w:type="pct"/>
          </w:tcPr>
          <w:p w14:paraId="05EFEB0B" w14:textId="77777777" w:rsidR="00EB6B11" w:rsidRPr="005814EB" w:rsidRDefault="00EB6B11" w:rsidP="00CE0AF6">
            <w:pPr>
              <w:rPr>
                <w:rFonts w:ascii="Avenir Next" w:hAnsi="Avenir Next"/>
                <w:sz w:val="22"/>
                <w:szCs w:val="22"/>
                <w:lang w:val="pt-BR"/>
              </w:rPr>
            </w:pPr>
          </w:p>
          <w:p w14:paraId="6018C103" w14:textId="77777777" w:rsidR="00EB6B11" w:rsidRPr="005814EB" w:rsidRDefault="00EB6B11" w:rsidP="00CE0AF6">
            <w:pPr>
              <w:rPr>
                <w:rFonts w:ascii="Avenir Next" w:hAnsi="Avenir Next"/>
                <w:sz w:val="22"/>
                <w:szCs w:val="22"/>
                <w:lang w:val="pt-BR"/>
              </w:rPr>
            </w:pPr>
          </w:p>
        </w:tc>
      </w:tr>
      <w:tr w:rsidR="00EB6B11" w:rsidRPr="005814EB" w14:paraId="3639EDAC" w14:textId="77777777" w:rsidTr="00BD6BED">
        <w:tc>
          <w:tcPr>
            <w:tcW w:w="983" w:type="pct"/>
            <w:shd w:val="clear" w:color="auto" w:fill="BDCEC9"/>
            <w:vAlign w:val="center"/>
          </w:tcPr>
          <w:p w14:paraId="2410E06A" w14:textId="604A2A0F" w:rsidR="00EB6B11" w:rsidRPr="005814EB" w:rsidRDefault="00EB6B11" w:rsidP="00BD6BED">
            <w:pPr>
              <w:rPr>
                <w:rFonts w:ascii="Avenir Next" w:hAnsi="Avenir Next"/>
                <w:sz w:val="22"/>
                <w:szCs w:val="22"/>
                <w:lang w:val="pt-BR"/>
              </w:rPr>
            </w:pPr>
            <w:r w:rsidRPr="005814EB">
              <w:rPr>
                <w:rFonts w:ascii="Avenir Next" w:hAnsi="Avenir Next"/>
                <w:sz w:val="22"/>
                <w:szCs w:val="22"/>
                <w:lang w:val="pt-BR"/>
              </w:rPr>
              <w:t>Ge</w:t>
            </w:r>
            <w:r w:rsidR="005D0DB2">
              <w:rPr>
                <w:rFonts w:ascii="Avenir Next" w:hAnsi="Avenir Next"/>
                <w:sz w:val="22"/>
                <w:szCs w:val="22"/>
                <w:lang w:val="pt-BR"/>
              </w:rPr>
              <w:t>ral</w:t>
            </w:r>
          </w:p>
        </w:tc>
        <w:tc>
          <w:tcPr>
            <w:tcW w:w="2018" w:type="pct"/>
          </w:tcPr>
          <w:p w14:paraId="367E1514" w14:textId="77777777" w:rsidR="00EB6B11" w:rsidRPr="005814EB" w:rsidRDefault="00EB6B11" w:rsidP="00CE0AF6">
            <w:pPr>
              <w:rPr>
                <w:rFonts w:ascii="Avenir Next" w:hAnsi="Avenir Next"/>
                <w:sz w:val="22"/>
                <w:szCs w:val="22"/>
                <w:lang w:val="pt-BR"/>
              </w:rPr>
            </w:pPr>
          </w:p>
        </w:tc>
        <w:tc>
          <w:tcPr>
            <w:tcW w:w="1999" w:type="pct"/>
          </w:tcPr>
          <w:p w14:paraId="1DFB808D" w14:textId="77777777" w:rsidR="00EB6B11" w:rsidRPr="005814EB" w:rsidRDefault="00EB6B11" w:rsidP="00CE0AF6">
            <w:pPr>
              <w:rPr>
                <w:rFonts w:ascii="Avenir Next" w:hAnsi="Avenir Next"/>
                <w:sz w:val="22"/>
                <w:szCs w:val="22"/>
                <w:lang w:val="pt-BR"/>
              </w:rPr>
            </w:pPr>
          </w:p>
          <w:p w14:paraId="547F645C" w14:textId="77777777" w:rsidR="00EB6B11" w:rsidRPr="005814EB" w:rsidRDefault="00EB6B11" w:rsidP="00CE0AF6">
            <w:pPr>
              <w:rPr>
                <w:rFonts w:ascii="Avenir Next" w:hAnsi="Avenir Next"/>
                <w:sz w:val="22"/>
                <w:szCs w:val="22"/>
                <w:lang w:val="pt-BR"/>
              </w:rPr>
            </w:pPr>
          </w:p>
        </w:tc>
      </w:tr>
    </w:tbl>
    <w:p w14:paraId="07490853" w14:textId="388ADE85" w:rsidR="00FF28F6" w:rsidRPr="005814EB" w:rsidRDefault="00EB6B11" w:rsidP="00EB6B11">
      <w:pPr>
        <w:spacing w:before="120" w:after="120" w:line="336" w:lineRule="auto"/>
        <w:rPr>
          <w:lang w:val="pt-BR"/>
        </w:rPr>
      </w:pPr>
      <w:r w:rsidRPr="005814EB">
        <w:rPr>
          <w:rFonts w:ascii="Canva Sans Bold" w:eastAsia="Canva Sans Bold" w:hAnsi="Canva Sans Bold" w:cs="Canva Sans Bold"/>
          <w:b/>
          <w:bCs/>
          <w:color w:val="000000"/>
          <w:sz w:val="64"/>
          <w:szCs w:val="64"/>
          <w:lang w:val="pt-BR"/>
        </w:rPr>
        <w:t xml:space="preserve"> </w:t>
      </w:r>
    </w:p>
    <w:sectPr w:rsidR="00FF28F6" w:rsidRPr="005814EB" w:rsidSect="00DB7493">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A50F" w14:textId="77777777" w:rsidR="00772015" w:rsidRDefault="00772015" w:rsidP="006D32E6">
      <w:r>
        <w:separator/>
      </w:r>
    </w:p>
  </w:endnote>
  <w:endnote w:type="continuationSeparator" w:id="0">
    <w:p w14:paraId="5AA2460B" w14:textId="77777777" w:rsidR="00772015" w:rsidRDefault="00772015" w:rsidP="006D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96D423C0-CB6D-1743-B908-FB0E4D278100}"/>
  </w:font>
  <w:font w:name="Times New Roman">
    <w:panose1 w:val="02020603050405020304"/>
    <w:charset w:val="00"/>
    <w:family w:val="roman"/>
    <w:pitch w:val="variable"/>
    <w:sig w:usb0="E0002EFF" w:usb1="C000785B" w:usb2="00000009" w:usb3="00000000" w:csb0="000001FF" w:csb1="00000000"/>
    <w:embedRegular r:id="rId2" w:fontKey="{5879A8D5-1C3E-9949-91F5-234079ED6DD0}"/>
    <w:embedBold r:id="rId3" w:fontKey="{D2168574-40B3-1941-B0CC-FFAE7DCE8331}"/>
  </w:font>
  <w:font w:name="Courier New">
    <w:panose1 w:val="02070309020205020404"/>
    <w:charset w:val="00"/>
    <w:family w:val="modern"/>
    <w:pitch w:val="fixed"/>
    <w:sig w:usb0="E0002AFF" w:usb1="C0007843" w:usb2="00000009" w:usb3="00000000" w:csb0="000001FF" w:csb1="00000000"/>
    <w:embedRegular r:id="rId4" w:fontKey="{45F831B6-B1F1-EC4F-9F8D-ABCD2C736C91}"/>
  </w:font>
  <w:font w:name="Wingdings">
    <w:panose1 w:val="05000000000000000000"/>
    <w:charset w:val="4D"/>
    <w:family w:val="decorative"/>
    <w:pitch w:val="variable"/>
    <w:sig w:usb0="00000003" w:usb1="00000000" w:usb2="00000000" w:usb3="00000000" w:csb0="80000001" w:csb1="00000000"/>
    <w:embedRegular r:id="rId5" w:fontKey="{6AA9DBC9-FD33-D24E-8F6E-C97B9983BFB2}"/>
  </w:font>
  <w:font w:name="Calibri">
    <w:panose1 w:val="020F0502020204030204"/>
    <w:charset w:val="00"/>
    <w:family w:val="swiss"/>
    <w:pitch w:val="variable"/>
    <w:sig w:usb0="E4002EFF" w:usb1="C200247B" w:usb2="00000009" w:usb3="00000000" w:csb0="000001FF" w:csb1="00000000"/>
    <w:embedRegular r:id="rId6" w:fontKey="{E0A393FA-9080-CD48-B0DF-F63682E46D1D}"/>
    <w:embedBold r:id="rId7" w:fontKey="{E58FC340-19C3-8840-9677-FD4902597A9E}"/>
  </w:font>
  <w:font w:name="Bodoni 72 Book">
    <w:altName w:val="Calibri"/>
    <w:panose1 w:val="00000400000000000000"/>
    <w:charset w:val="00"/>
    <w:family w:val="auto"/>
    <w:pitch w:val="variable"/>
    <w:sig w:usb0="00000003" w:usb1="00000000" w:usb2="00000000" w:usb3="00000000" w:csb0="00000001" w:csb1="00000000"/>
    <w:embedRegular r:id="rId8" w:fontKey="{4B9B4A35-7BBE-8645-B3A9-56BDE0A3C872}"/>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0" w:fontKey="{1992EDCC-0A84-D744-A10A-A5E5DEF3827E}"/>
    <w:embedBold r:id="rId11" w:fontKey="{91AC5304-AB93-2D4E-9AA1-D740B7041B89}"/>
  </w:font>
  <w:font w:name="Montserrat">
    <w:panose1 w:val="00000500000000000000"/>
    <w:charset w:val="4D"/>
    <w:family w:val="auto"/>
    <w:pitch w:val="variable"/>
    <w:sig w:usb0="2000020F" w:usb1="00000003" w:usb2="00000000" w:usb3="00000000" w:csb0="00000197" w:csb1="00000000"/>
    <w:embedRegular r:id="rId12" w:fontKey="{473A684C-2877-A84A-B607-67986EAB80F7}"/>
  </w:font>
  <w:font w:name="IBM Plex Sans">
    <w:panose1 w:val="020B0503050203000203"/>
    <w:charset w:val="00"/>
    <w:family w:val="swiss"/>
    <w:pitch w:val="variable"/>
    <w:sig w:usb0="A00002EF" w:usb1="5000207B" w:usb2="00000000" w:usb3="00000000" w:csb0="0000019F" w:csb1="00000000"/>
    <w:embedRegular r:id="rId13" w:fontKey="{A2A209FD-AF7C-084F-A667-F6B6897CAAFF}"/>
    <w:embedBold r:id="rId14" w:fontKey="{4CF82203-02AF-F441-AE99-D91BC420382A}"/>
  </w:font>
  <w:font w:name="Avenir Next Ultra Light">
    <w:panose1 w:val="020B0203020202020204"/>
    <w:charset w:val="4D"/>
    <w:family w:val="swiss"/>
    <w:pitch w:val="variable"/>
    <w:sig w:usb0="800000AF" w:usb1="5000204A" w:usb2="00000000" w:usb3="00000000" w:csb0="0000009B" w:csb1="00000000"/>
    <w:embedRegular r:id="rId15" w:fontKey="{4D91696F-6E2E-AC40-8F61-584F5D32B208}"/>
    <w:embedBold r:id="rId16" w:fontKey="{415B341F-434B-004D-92BC-9D6FCFBE2762}"/>
  </w:font>
  <w:font w:name="Arial">
    <w:panose1 w:val="020B0604020202020204"/>
    <w:charset w:val="00"/>
    <w:family w:val="swiss"/>
    <w:pitch w:val="variable"/>
    <w:sig w:usb0="E0002AFF" w:usb1="C0007843" w:usb2="00000009" w:usb3="00000000" w:csb0="000001FF" w:csb1="00000000"/>
    <w:embedRegular r:id="rId17" w:fontKey="{A1932DAE-6AC1-E547-BD7D-6F45BD035113}"/>
  </w:font>
  <w:font w:name="Canva Sans Bold">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9" w:fontKey="{D3BF95DB-B2F0-F64E-A11E-613AF8E07A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8CFD7" w14:textId="77777777" w:rsidR="00772015" w:rsidRDefault="00772015" w:rsidP="006D32E6">
      <w:r>
        <w:separator/>
      </w:r>
    </w:p>
  </w:footnote>
  <w:footnote w:type="continuationSeparator" w:id="0">
    <w:p w14:paraId="4A7D3859" w14:textId="77777777" w:rsidR="00772015" w:rsidRDefault="00772015" w:rsidP="006D32E6">
      <w:r>
        <w:continuationSeparator/>
      </w:r>
    </w:p>
  </w:footnote>
  <w:footnote w:id="1">
    <w:p w14:paraId="27B18FD1" w14:textId="0AA38381" w:rsidR="00361C18" w:rsidRPr="005D0DB2" w:rsidRDefault="00361C18" w:rsidP="00361C18">
      <w:pPr>
        <w:pStyle w:val="FootnoteText"/>
        <w:rPr>
          <w:rFonts w:ascii="Avenir Next" w:hAnsi="Avenir Next"/>
          <w:sz w:val="14"/>
          <w:szCs w:val="14"/>
          <w:lang w:val="pt-BR"/>
        </w:rPr>
      </w:pPr>
      <w:r w:rsidRPr="005D0DB2">
        <w:rPr>
          <w:rStyle w:val="FootnoteReference"/>
          <w:rFonts w:ascii="Avenir Next" w:hAnsi="Avenir Next"/>
          <w:sz w:val="14"/>
          <w:szCs w:val="14"/>
          <w:lang w:val="pt-BR"/>
        </w:rPr>
        <w:footnoteRef/>
      </w:r>
      <w:r w:rsidRPr="005D0DB2">
        <w:rPr>
          <w:rFonts w:ascii="Avenir Next" w:hAnsi="Avenir Next"/>
          <w:sz w:val="14"/>
          <w:szCs w:val="14"/>
          <w:lang w:val="pt-BR"/>
        </w:rPr>
        <w:t xml:space="preserve"> </w:t>
      </w:r>
      <w:r w:rsidR="005D0DB2" w:rsidRPr="005D0DB2">
        <w:rPr>
          <w:rFonts w:ascii="Avenir Next" w:hAnsi="Avenir Next"/>
          <w:sz w:val="14"/>
          <w:szCs w:val="14"/>
          <w:lang w:val="pt-BR"/>
        </w:rPr>
        <w:t xml:space="preserve"> </w:t>
      </w:r>
      <w:r w:rsidR="005D0DB2" w:rsidRPr="005D0DB2">
        <w:rPr>
          <w:rFonts w:ascii="Avenir Next" w:hAnsi="Avenir Next"/>
          <w:color w:val="000000"/>
          <w:sz w:val="14"/>
          <w:szCs w:val="14"/>
          <w:lang w:val="pt-BR"/>
        </w:rPr>
        <w:t>Os outros dois são: 1) garantir a coerência das PAM de REDD+ com as salvaguardas de Cancún durante toda a implementação de REDD+, e 2) a provisão de um resumo de informações que demonstre como as salvaguardas foram abordadas e respeitadas perante a CQNUMC.</w:t>
      </w:r>
    </w:p>
  </w:footnote>
  <w:footnote w:id="2">
    <w:p w14:paraId="7B51ABBC" w14:textId="7A11AF73" w:rsidR="00361C18" w:rsidRPr="005D0DB2" w:rsidRDefault="00361C18" w:rsidP="00361C18">
      <w:pPr>
        <w:pStyle w:val="FootnoteText"/>
        <w:rPr>
          <w:rFonts w:ascii="Avenir Next" w:hAnsi="Avenir Next"/>
          <w:sz w:val="14"/>
          <w:szCs w:val="14"/>
          <w:lang w:val="pt-BR"/>
        </w:rPr>
      </w:pPr>
      <w:r w:rsidRPr="005D0DB2">
        <w:rPr>
          <w:rStyle w:val="FootnoteReference"/>
          <w:rFonts w:ascii="Avenir Next" w:hAnsi="Avenir Next"/>
          <w:sz w:val="14"/>
          <w:szCs w:val="14"/>
          <w:lang w:val="pt-BR"/>
        </w:rPr>
        <w:footnoteRef/>
      </w:r>
      <w:r w:rsidRPr="005D0DB2">
        <w:rPr>
          <w:rFonts w:ascii="Avenir Next" w:hAnsi="Avenir Next"/>
          <w:sz w:val="14"/>
          <w:szCs w:val="14"/>
          <w:lang w:val="pt-BR"/>
        </w:rPr>
        <w:t xml:space="preserve"> </w:t>
      </w:r>
      <w:r w:rsidR="005D0DB2" w:rsidRPr="005D0DB2">
        <w:rPr>
          <w:rFonts w:ascii="Avenir Next" w:hAnsi="Avenir Next"/>
          <w:color w:val="000000"/>
          <w:sz w:val="14"/>
          <w:szCs w:val="14"/>
          <w:lang w:val="pt-BR"/>
        </w:rPr>
        <w:t>Decisão 2/CP.17, parágrafo 64</w:t>
      </w:r>
    </w:p>
  </w:footnote>
  <w:footnote w:id="3">
    <w:p w14:paraId="50FDD895" w14:textId="5056ABB9" w:rsidR="00361C18" w:rsidRPr="006D32E6" w:rsidRDefault="00361C18" w:rsidP="00361C18">
      <w:pPr>
        <w:pStyle w:val="FootnoteText"/>
        <w:rPr>
          <w:lang w:val="en-GB"/>
        </w:rPr>
      </w:pPr>
      <w:r w:rsidRPr="005D0DB2">
        <w:rPr>
          <w:rStyle w:val="FootnoteReference"/>
          <w:rFonts w:ascii="Avenir Next" w:hAnsi="Avenir Next"/>
          <w:sz w:val="14"/>
          <w:szCs w:val="14"/>
          <w:lang w:val="pt-BR"/>
        </w:rPr>
        <w:footnoteRef/>
      </w:r>
      <w:r w:rsidRPr="005D0DB2">
        <w:rPr>
          <w:rFonts w:ascii="Avenir Next" w:hAnsi="Avenir Next"/>
          <w:sz w:val="14"/>
          <w:szCs w:val="14"/>
          <w:lang w:val="pt-BR"/>
        </w:rPr>
        <w:t xml:space="preserve"> </w:t>
      </w:r>
      <w:r w:rsidR="005D0DB2" w:rsidRPr="005D0DB2">
        <w:rPr>
          <w:rFonts w:ascii="Avenir Next" w:hAnsi="Avenir Next"/>
          <w:color w:val="000000"/>
          <w:sz w:val="14"/>
          <w:szCs w:val="14"/>
          <w:lang w:val="pt-BR"/>
        </w:rPr>
        <w:t>Decisão 12/CP.17 da CQNUMC, parágrafo 2</w:t>
      </w:r>
    </w:p>
  </w:footnote>
  <w:footnote w:id="4">
    <w:p w14:paraId="4E12FFC0" w14:textId="6064F0A5" w:rsidR="00EB6B11" w:rsidRPr="005D0DB2" w:rsidRDefault="00EB6B11" w:rsidP="00EB6B11">
      <w:pPr>
        <w:pStyle w:val="FootnoteText"/>
        <w:rPr>
          <w:rFonts w:ascii="Avenir Next" w:hAnsi="Avenir Next"/>
          <w:sz w:val="14"/>
          <w:szCs w:val="14"/>
          <w:lang w:val="pt-BR"/>
        </w:rPr>
      </w:pPr>
      <w:r w:rsidRPr="005D0DB2">
        <w:rPr>
          <w:rStyle w:val="FootnoteReference"/>
          <w:rFonts w:ascii="Avenir Next" w:hAnsi="Avenir Next"/>
          <w:sz w:val="14"/>
          <w:szCs w:val="14"/>
          <w:lang w:val="pt-BR"/>
        </w:rPr>
        <w:footnoteRef/>
      </w:r>
      <w:r w:rsidRPr="005D0DB2">
        <w:rPr>
          <w:rFonts w:ascii="Avenir Next" w:hAnsi="Avenir Next"/>
          <w:sz w:val="14"/>
          <w:szCs w:val="14"/>
          <w:lang w:val="pt-BR"/>
        </w:rPr>
        <w:t xml:space="preserve"> </w:t>
      </w:r>
      <w:r w:rsidR="005D0DB2" w:rsidRPr="005D0DB2">
        <w:rPr>
          <w:rFonts w:ascii="Avenir Next" w:hAnsi="Avenir Next"/>
          <w:color w:val="000000"/>
          <w:sz w:val="14"/>
          <w:szCs w:val="14"/>
          <w:lang w:val="pt-BR"/>
        </w:rPr>
        <w:t>CQNUMC, Decisão 12/CP.17, preâmbulo e parágrafo 2 (alíneas 'e' e 'f')</w:t>
      </w:r>
    </w:p>
  </w:footnote>
  <w:footnote w:id="5">
    <w:p w14:paraId="49EA54DF" w14:textId="7A5B52B8" w:rsidR="00EB6B11" w:rsidRPr="00346C6B" w:rsidRDefault="00EB6B11" w:rsidP="00EB6B11">
      <w:pPr>
        <w:pStyle w:val="FootnoteText"/>
        <w:ind w:left="142" w:hanging="142"/>
        <w:contextualSpacing/>
        <w:jc w:val="both"/>
        <w:rPr>
          <w:rFonts w:ascii="Avenir Next" w:hAnsi="Avenir Next"/>
          <w:sz w:val="14"/>
          <w:szCs w:val="14"/>
        </w:rPr>
      </w:pPr>
      <w:r w:rsidRPr="005D0DB2">
        <w:rPr>
          <w:rStyle w:val="FootnoteReference"/>
          <w:rFonts w:ascii="Avenir Next" w:hAnsi="Avenir Next"/>
          <w:sz w:val="14"/>
          <w:szCs w:val="14"/>
          <w:lang w:val="pt-BR"/>
        </w:rPr>
        <w:footnoteRef/>
      </w:r>
      <w:r w:rsidR="005D0DB2" w:rsidRPr="005D0DB2">
        <w:rPr>
          <w:rFonts w:ascii="Avenir Next" w:hAnsi="Avenir Next"/>
          <w:color w:val="000000"/>
          <w:sz w:val="14"/>
          <w:szCs w:val="14"/>
          <w:lang w:val="pt-BR"/>
        </w:rPr>
        <w:t>Programa REDD das Nações Unidas (2016) Sistemas de Informação sobre Salvaguardas REDD+: Considerações práticas de design. Série de recursos técnicos. Edição de Salvaguardas</w:t>
      </w:r>
    </w:p>
  </w:footnote>
  <w:footnote w:id="6">
    <w:p w14:paraId="3DC6CCF9" w14:textId="0ED98021" w:rsidR="00EB6B11" w:rsidRPr="005D0DB2" w:rsidRDefault="00EB6B11" w:rsidP="00EB6B11">
      <w:pPr>
        <w:pStyle w:val="FootnoteText"/>
        <w:rPr>
          <w:rFonts w:ascii="Avenir Next" w:hAnsi="Avenir Next"/>
          <w:sz w:val="14"/>
          <w:szCs w:val="14"/>
          <w:lang w:val="pt-BR"/>
        </w:rPr>
      </w:pPr>
      <w:r w:rsidRPr="005D0DB2">
        <w:rPr>
          <w:rStyle w:val="FootnoteReference"/>
          <w:rFonts w:ascii="Avenir Next" w:hAnsi="Avenir Next"/>
          <w:sz w:val="14"/>
          <w:szCs w:val="14"/>
          <w:lang w:val="pt-BR"/>
        </w:rPr>
        <w:footnoteRef/>
      </w:r>
      <w:r w:rsidRPr="005D0DB2">
        <w:rPr>
          <w:rFonts w:ascii="Avenir Next" w:hAnsi="Avenir Next"/>
          <w:sz w:val="14"/>
          <w:szCs w:val="14"/>
          <w:lang w:val="pt-BR"/>
        </w:rPr>
        <w:t xml:space="preserve"> </w:t>
      </w:r>
      <w:r w:rsidR="005D0DB2" w:rsidRPr="005D0DB2">
        <w:rPr>
          <w:rFonts w:ascii="Avenir Next" w:hAnsi="Avenir Next"/>
          <w:color w:val="000000"/>
          <w:sz w:val="14"/>
          <w:szCs w:val="14"/>
          <w:lang w:val="pt-BR"/>
        </w:rPr>
        <w:t>CQNUMC, Decisão 12/CP.17, parágrafo 2 (alínea 'b')</w:t>
      </w:r>
    </w:p>
  </w:footnote>
  <w:footnote w:id="7">
    <w:p w14:paraId="0EB23DC2" w14:textId="4FCE215B" w:rsidR="00EB6B11" w:rsidRDefault="00EB6B11" w:rsidP="00EB6B11">
      <w:pPr>
        <w:pStyle w:val="FootnoteText"/>
      </w:pPr>
      <w:r w:rsidRPr="005D0DB2">
        <w:rPr>
          <w:rStyle w:val="FootnoteReference"/>
          <w:rFonts w:ascii="Avenir Next" w:hAnsi="Avenir Next"/>
          <w:sz w:val="14"/>
          <w:szCs w:val="14"/>
          <w:lang w:val="pt-BR"/>
        </w:rPr>
        <w:footnoteRef/>
      </w:r>
      <w:r w:rsidRPr="005D0DB2">
        <w:rPr>
          <w:rFonts w:ascii="Avenir Next" w:hAnsi="Avenir Next"/>
          <w:sz w:val="14"/>
          <w:szCs w:val="14"/>
          <w:lang w:val="pt-BR"/>
        </w:rPr>
        <w:t xml:space="preserve"> Nota</w:t>
      </w:r>
      <w:r w:rsidR="005D0DB2" w:rsidRPr="005D0DB2">
        <w:rPr>
          <w:rFonts w:ascii="Avenir Next" w:hAnsi="Avenir Next"/>
          <w:color w:val="000000"/>
          <w:sz w:val="14"/>
          <w:szCs w:val="14"/>
          <w:lang w:val="pt-BR"/>
        </w:rPr>
        <w:t>: Entende-se por pontual/regular a frequência anual em relação à frequência de apresentação de relatórios às normas pertinentes.</w:t>
      </w:r>
    </w:p>
  </w:footnote>
  <w:footnote w:id="8">
    <w:p w14:paraId="66F7F206" w14:textId="4DBFE30E" w:rsidR="00EB6B11" w:rsidRPr="00CC0562" w:rsidRDefault="00EB6B11" w:rsidP="00EB6B11">
      <w:pPr>
        <w:pStyle w:val="FootnoteText"/>
        <w:rPr>
          <w:rFonts w:ascii="Avenir Next" w:hAnsi="Avenir Next"/>
          <w:sz w:val="14"/>
          <w:szCs w:val="14"/>
          <w:lang w:val="pt-BR"/>
        </w:rPr>
      </w:pPr>
      <w:r w:rsidRPr="00CC0562">
        <w:rPr>
          <w:rStyle w:val="FootnoteReference"/>
          <w:rFonts w:ascii="Avenir Next" w:hAnsi="Avenir Next"/>
          <w:sz w:val="14"/>
          <w:szCs w:val="14"/>
          <w:lang w:val="pt-BR"/>
        </w:rPr>
        <w:footnoteRef/>
      </w:r>
      <w:r w:rsidRPr="00CC0562">
        <w:rPr>
          <w:rFonts w:ascii="Avenir Next" w:hAnsi="Avenir Next"/>
          <w:sz w:val="14"/>
          <w:szCs w:val="14"/>
          <w:lang w:val="pt-BR"/>
        </w:rPr>
        <w:t xml:space="preserve"> </w:t>
      </w:r>
      <w:r w:rsidR="005D0DB2" w:rsidRPr="00CC0562">
        <w:rPr>
          <w:rFonts w:ascii="Avenir Next" w:hAnsi="Avenir Next"/>
          <w:color w:val="000000"/>
          <w:sz w:val="14"/>
          <w:szCs w:val="14"/>
          <w:lang w:val="pt-BR"/>
        </w:rPr>
        <w:t>CQNUMC, Decisão 12/CP.17, parágrafo 2 (alínea 'b')</w:t>
      </w:r>
    </w:p>
  </w:footnote>
  <w:footnote w:id="9">
    <w:p w14:paraId="510CB302" w14:textId="0C887267" w:rsidR="00EB6B11" w:rsidRPr="00CC0562" w:rsidRDefault="00EB6B11" w:rsidP="00EB6B11">
      <w:pPr>
        <w:pStyle w:val="FootnoteText"/>
        <w:rPr>
          <w:rFonts w:ascii="Avenir Next" w:hAnsi="Avenir Next"/>
          <w:sz w:val="14"/>
          <w:szCs w:val="14"/>
          <w:lang w:val="pt-BR"/>
        </w:rPr>
      </w:pPr>
      <w:r w:rsidRPr="00CC0562">
        <w:rPr>
          <w:rStyle w:val="FootnoteReference"/>
          <w:rFonts w:ascii="Avenir Next" w:hAnsi="Avenir Next"/>
          <w:sz w:val="14"/>
          <w:szCs w:val="14"/>
          <w:lang w:val="pt-BR"/>
        </w:rPr>
        <w:footnoteRef/>
      </w:r>
      <w:r w:rsidRPr="00CC0562">
        <w:rPr>
          <w:rFonts w:ascii="Avenir Next" w:hAnsi="Avenir Next"/>
          <w:sz w:val="14"/>
          <w:szCs w:val="14"/>
          <w:lang w:val="pt-BR"/>
        </w:rPr>
        <w:t xml:space="preserve"> </w:t>
      </w:r>
      <w:r w:rsidR="00CC0562" w:rsidRPr="00CC0562">
        <w:rPr>
          <w:rFonts w:ascii="Avenir Next" w:hAnsi="Avenir Next"/>
          <w:color w:val="000000"/>
          <w:sz w:val="14"/>
          <w:szCs w:val="14"/>
          <w:lang w:val="pt-BR"/>
        </w:rPr>
        <w:t>Espera-se que a informação seja divulgada nos idiomas locais pertinentes e de maneira acessível e culturalmente apropriada, levando em consideração quaisquer necessidades específicas dos grupos que possam ser afetados de forma diferenciada ou desproporcional pelo programa REDD+, ou grupos da população com necessidades específicas de informação (como deficiência, alfabetização, gênero, mobilidade, diferenças de idioma ou acessibilidade).</w:t>
      </w:r>
    </w:p>
  </w:footnote>
  <w:footnote w:id="10">
    <w:p w14:paraId="6F3C43F7" w14:textId="4923534A" w:rsidR="00EB6B11" w:rsidRPr="00CC0562" w:rsidRDefault="00EB6B11" w:rsidP="00EB6B11">
      <w:pPr>
        <w:pStyle w:val="FootnoteText"/>
        <w:rPr>
          <w:rFonts w:ascii="Avenir Next" w:hAnsi="Avenir Next"/>
          <w:sz w:val="14"/>
          <w:szCs w:val="14"/>
          <w:lang w:val="pt-BR"/>
        </w:rPr>
      </w:pPr>
      <w:r w:rsidRPr="00CC0562">
        <w:rPr>
          <w:rStyle w:val="FootnoteReference"/>
          <w:rFonts w:ascii="Avenir Next" w:hAnsi="Avenir Next"/>
          <w:sz w:val="14"/>
          <w:szCs w:val="14"/>
          <w:lang w:val="pt-BR"/>
        </w:rPr>
        <w:footnoteRef/>
      </w:r>
      <w:r w:rsidRPr="00CC0562">
        <w:rPr>
          <w:rFonts w:ascii="Avenir Next" w:hAnsi="Avenir Next"/>
          <w:sz w:val="14"/>
          <w:szCs w:val="14"/>
          <w:lang w:val="pt-BR"/>
        </w:rPr>
        <w:t xml:space="preserve"> </w:t>
      </w:r>
      <w:r w:rsidR="00CC0562">
        <w:rPr>
          <w:rFonts w:ascii="Avenir Next" w:hAnsi="Avenir Next"/>
          <w:sz w:val="14"/>
          <w:szCs w:val="14"/>
          <w:lang w:val="pt-BR"/>
        </w:rPr>
        <w:t>T</w:t>
      </w:r>
      <w:r w:rsidR="00CC0562" w:rsidRPr="00CC0562">
        <w:rPr>
          <w:rFonts w:ascii="Avenir Next" w:hAnsi="Avenir Next"/>
          <w:color w:val="000000"/>
          <w:sz w:val="14"/>
          <w:szCs w:val="14"/>
          <w:lang w:val="pt-BR"/>
        </w:rPr>
        <w:t>ransparência máxima é interpretada no sentido de que "toda a informação em poder de organismos públicos é acessível, sujeita a um regime claro e restrito de exceções estabelecidas na lei que são legítimas e estritamente necessárias em uma sociedade democrática, baseada nos padrões e na jurisprudência da Comissão Interamericana de Direitos Humanos". Sistema Americano", Lei Modelo Interamericana sobre Acesso à Informação Artigo 2.</w:t>
      </w:r>
    </w:p>
  </w:footnote>
  <w:footnote w:id="11">
    <w:p w14:paraId="76085EAD" w14:textId="384E4595" w:rsidR="00EB6B11" w:rsidRPr="00CC0562" w:rsidRDefault="00EB6B11" w:rsidP="00EB6B11">
      <w:pPr>
        <w:pStyle w:val="FootnoteText"/>
        <w:rPr>
          <w:rFonts w:ascii="Avenir Next" w:hAnsi="Avenir Next"/>
          <w:sz w:val="14"/>
          <w:szCs w:val="14"/>
          <w:lang w:val="es-ES"/>
        </w:rPr>
      </w:pPr>
      <w:r w:rsidRPr="00CC0562">
        <w:rPr>
          <w:rStyle w:val="FootnoteReference"/>
          <w:rFonts w:ascii="Avenir Next" w:hAnsi="Avenir Next"/>
          <w:sz w:val="14"/>
          <w:szCs w:val="14"/>
          <w:lang w:val="pt-BR"/>
        </w:rPr>
        <w:footnoteRef/>
      </w:r>
      <w:r w:rsidRPr="00CC0562">
        <w:rPr>
          <w:rFonts w:ascii="Avenir Next" w:hAnsi="Avenir Next"/>
          <w:sz w:val="14"/>
          <w:szCs w:val="14"/>
          <w:lang w:val="pt-BR"/>
        </w:rPr>
        <w:t xml:space="preserve"> </w:t>
      </w:r>
      <w:r w:rsidR="00CC0562" w:rsidRPr="00CC0562">
        <w:rPr>
          <w:rFonts w:ascii="Avenir Next" w:hAnsi="Avenir Next"/>
          <w:color w:val="000000"/>
          <w:sz w:val="14"/>
          <w:szCs w:val="14"/>
          <w:lang w:val="pt-BR"/>
        </w:rPr>
        <w:t>CQNUMC, Decisão 12/CP.17, parágrafos 1 e 2 (alínea ‘c’). Note que esta abordagem gradual com divulgação periódica de informações criará uma narrativa que fornecerá a “direção positiva do caminho” na implementação de salvaguardas.</w:t>
      </w:r>
    </w:p>
  </w:footnote>
  <w:footnote w:id="12">
    <w:p w14:paraId="3A250E1B" w14:textId="5729A5C2" w:rsidR="00EB6B11" w:rsidRPr="00122430" w:rsidRDefault="00EB6B11" w:rsidP="00EB6B11">
      <w:pPr>
        <w:pStyle w:val="FootnoteText"/>
        <w:rPr>
          <w:rFonts w:ascii="Avenir Next" w:hAnsi="Avenir Next"/>
          <w:sz w:val="14"/>
          <w:szCs w:val="14"/>
          <w:lang w:val="pt-BR"/>
        </w:rPr>
      </w:pPr>
      <w:r w:rsidRPr="00122430">
        <w:rPr>
          <w:rStyle w:val="FootnoteReference"/>
          <w:rFonts w:ascii="Avenir Next" w:hAnsi="Avenir Next"/>
          <w:sz w:val="14"/>
          <w:szCs w:val="14"/>
          <w:lang w:val="pt-BR"/>
        </w:rPr>
        <w:footnoteRef/>
      </w:r>
      <w:r w:rsidRPr="00122430">
        <w:rPr>
          <w:rFonts w:ascii="Avenir Next" w:hAnsi="Avenir Next"/>
          <w:sz w:val="14"/>
          <w:szCs w:val="14"/>
          <w:lang w:val="pt-BR"/>
        </w:rPr>
        <w:t xml:space="preserve"> Nota: </w:t>
      </w:r>
      <w:r w:rsidR="00CC0562" w:rsidRPr="00122430">
        <w:rPr>
          <w:rFonts w:ascii="Avenir Next" w:hAnsi="Avenir Next"/>
          <w:color w:val="000000"/>
          <w:sz w:val="14"/>
          <w:szCs w:val="14"/>
          <w:lang w:val="pt-BR"/>
        </w:rPr>
        <w:t xml:space="preserve">algumas ações REDD+ não estão atualmente em fase de desenvolvimento/implementação, mas seu desenvolvimento/implementação está planejado para os próximos anos, portanto, para os próximos períodos de </w:t>
      </w:r>
      <w:r w:rsidR="00122430" w:rsidRPr="00122430">
        <w:rPr>
          <w:rFonts w:ascii="Avenir Next" w:hAnsi="Avenir Next"/>
          <w:color w:val="000000"/>
          <w:sz w:val="14"/>
          <w:szCs w:val="14"/>
          <w:lang w:val="pt-BR"/>
        </w:rPr>
        <w:t>relatório.</w:t>
      </w:r>
    </w:p>
  </w:footnote>
  <w:footnote w:id="13">
    <w:p w14:paraId="3A9AF401" w14:textId="38D5A13B" w:rsidR="00EB6B11" w:rsidRPr="00122430" w:rsidRDefault="00EB6B11" w:rsidP="00EB6B11">
      <w:pPr>
        <w:pStyle w:val="FootnoteText"/>
        <w:rPr>
          <w:rFonts w:ascii="Avenir Next" w:hAnsi="Avenir Next"/>
          <w:sz w:val="14"/>
          <w:szCs w:val="14"/>
          <w:lang w:val="pt-BR"/>
        </w:rPr>
      </w:pPr>
      <w:r w:rsidRPr="00122430">
        <w:rPr>
          <w:rStyle w:val="FootnoteReference"/>
          <w:rFonts w:ascii="Avenir Next" w:hAnsi="Avenir Next"/>
          <w:sz w:val="14"/>
          <w:szCs w:val="14"/>
          <w:lang w:val="pt-BR"/>
        </w:rPr>
        <w:footnoteRef/>
      </w:r>
      <w:r w:rsidRPr="00122430">
        <w:rPr>
          <w:rFonts w:ascii="Avenir Next" w:hAnsi="Avenir Next"/>
          <w:sz w:val="14"/>
          <w:szCs w:val="14"/>
          <w:lang w:val="pt-BR"/>
        </w:rPr>
        <w:t xml:space="preserve"> Nota: </w:t>
      </w:r>
      <w:r w:rsidR="00CC0562" w:rsidRPr="00122430">
        <w:rPr>
          <w:rFonts w:ascii="Avenir Next" w:hAnsi="Avenir Next"/>
          <w:color w:val="000000"/>
          <w:sz w:val="14"/>
          <w:szCs w:val="14"/>
          <w:lang w:val="pt-BR"/>
        </w:rPr>
        <w:t>as funções do SIS podem considerar um processo de múltiplas partes interessadas que permita uma avaliação da informação e do processo geral do SIS. Os relatórios do SIS também podem considerar uma seção dedicada a apontar melhorias para os próximos períodos de relatório.</w:t>
      </w:r>
    </w:p>
  </w:footnote>
  <w:footnote w:id="14">
    <w:p w14:paraId="658FAE2A" w14:textId="3E486F5B" w:rsidR="00EB6B11" w:rsidRPr="00122430" w:rsidRDefault="00EB6B11" w:rsidP="00EB6B11">
      <w:pPr>
        <w:pStyle w:val="FootnoteText"/>
        <w:rPr>
          <w:rFonts w:ascii="Avenir Next" w:hAnsi="Avenir Next"/>
          <w:sz w:val="14"/>
          <w:szCs w:val="14"/>
        </w:rPr>
      </w:pPr>
      <w:r w:rsidRPr="00122430">
        <w:rPr>
          <w:rStyle w:val="FootnoteReference"/>
          <w:rFonts w:ascii="Avenir Next" w:hAnsi="Avenir Next"/>
          <w:sz w:val="14"/>
          <w:szCs w:val="14"/>
          <w:lang w:val="pt-BR"/>
        </w:rPr>
        <w:footnoteRef/>
      </w:r>
      <w:r w:rsidRPr="00122430">
        <w:rPr>
          <w:rFonts w:ascii="Avenir Next" w:hAnsi="Avenir Next"/>
          <w:sz w:val="14"/>
          <w:szCs w:val="14"/>
          <w:lang w:val="pt-BR"/>
        </w:rPr>
        <w:t xml:space="preserve"> </w:t>
      </w:r>
      <w:r w:rsidR="00CC0562" w:rsidRPr="00122430">
        <w:rPr>
          <w:rFonts w:ascii="Avenir Next" w:hAnsi="Avenir Next"/>
          <w:color w:val="000000"/>
          <w:sz w:val="14"/>
          <w:szCs w:val="14"/>
          <w:lang w:val="pt-BR"/>
        </w:rPr>
        <w:t>CQNUMC, Decisão 12/CP.17, parágrafos 1 e 2 (alínea 'd')</w:t>
      </w:r>
    </w:p>
  </w:footnote>
  <w:footnote w:id="15">
    <w:p w14:paraId="54197F5C" w14:textId="27B2499A" w:rsidR="00EB6B11" w:rsidRPr="00122430" w:rsidRDefault="00EB6B11" w:rsidP="00EB6B11">
      <w:pPr>
        <w:rPr>
          <w:rFonts w:ascii="Avenir Next" w:hAnsi="Avenir Next"/>
          <w:sz w:val="14"/>
          <w:szCs w:val="14"/>
          <w:lang w:val="pt-BR"/>
        </w:rPr>
      </w:pPr>
      <w:r w:rsidRPr="00122430">
        <w:rPr>
          <w:rStyle w:val="FootnoteReference"/>
          <w:rFonts w:ascii="Avenir Next" w:hAnsi="Avenir Next"/>
          <w:sz w:val="14"/>
          <w:szCs w:val="14"/>
          <w:lang w:val="pt-BR"/>
        </w:rPr>
        <w:footnoteRef/>
      </w:r>
      <w:r w:rsidRPr="00122430">
        <w:rPr>
          <w:rFonts w:ascii="Avenir Next" w:hAnsi="Avenir Next"/>
          <w:sz w:val="14"/>
          <w:szCs w:val="14"/>
          <w:lang w:val="pt-BR"/>
        </w:rPr>
        <w:t xml:space="preserve"> Nota: </w:t>
      </w:r>
      <w:r w:rsidR="00122430" w:rsidRPr="00122430">
        <w:rPr>
          <w:rFonts w:ascii="Avenir Next" w:hAnsi="Avenir Next"/>
          <w:color w:val="000000"/>
          <w:sz w:val="14"/>
          <w:szCs w:val="14"/>
          <w:lang w:val="pt-BR"/>
        </w:rPr>
        <w:t>para demonstrar isso, pode-se utilizar uma comparação de como os indicadores do SIS se ajustam aos indicadores TREES.</w:t>
      </w:r>
    </w:p>
    <w:p w14:paraId="7137E128" w14:textId="77777777" w:rsidR="00EB6B11" w:rsidRDefault="00EB6B11" w:rsidP="00EB6B1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B5507"/>
    <w:multiLevelType w:val="hybridMultilevel"/>
    <w:tmpl w:val="84484904"/>
    <w:lvl w:ilvl="0" w:tplc="6EE022F0">
      <w:start w:val="1"/>
      <w:numFmt w:val="bullet"/>
      <w:lvlText w:val=""/>
      <w:lvlJc w:val="left"/>
      <w:pPr>
        <w:ind w:left="400" w:hanging="360"/>
      </w:pPr>
      <w:rPr>
        <w:rFonts w:ascii="Symbol" w:hAnsi="Symbol"/>
      </w:rPr>
    </w:lvl>
    <w:lvl w:ilvl="1" w:tplc="96CC9D7E">
      <w:start w:val="1"/>
      <w:numFmt w:val="bullet"/>
      <w:lvlText w:val="o"/>
      <w:lvlJc w:val="left"/>
      <w:pPr>
        <w:ind w:left="800" w:hanging="360"/>
      </w:pPr>
      <w:rPr>
        <w:rFonts w:ascii="Courier New" w:hAnsi="Courier New"/>
      </w:rPr>
    </w:lvl>
    <w:lvl w:ilvl="2" w:tplc="7152E1EC">
      <w:start w:val="1"/>
      <w:numFmt w:val="bullet"/>
      <w:lvlText w:val=""/>
      <w:lvlJc w:val="left"/>
      <w:pPr>
        <w:ind w:left="1200" w:hanging="360"/>
      </w:pPr>
      <w:rPr>
        <w:rFonts w:ascii="Wingdings" w:hAnsi="Wingdings"/>
      </w:rPr>
    </w:lvl>
    <w:lvl w:ilvl="3" w:tplc="BA68C7BE">
      <w:start w:val="1"/>
      <w:numFmt w:val="bullet"/>
      <w:lvlText w:val=""/>
      <w:lvlJc w:val="left"/>
      <w:pPr>
        <w:ind w:left="1600" w:hanging="360"/>
      </w:pPr>
      <w:rPr>
        <w:rFonts w:ascii="Symbol" w:hAnsi="Symbol"/>
      </w:rPr>
    </w:lvl>
    <w:lvl w:ilvl="4" w:tplc="3BE054F2">
      <w:start w:val="1"/>
      <w:numFmt w:val="bullet"/>
      <w:lvlText w:val="o"/>
      <w:lvlJc w:val="left"/>
      <w:pPr>
        <w:ind w:left="2000" w:hanging="360"/>
      </w:pPr>
      <w:rPr>
        <w:rFonts w:ascii="Courier New" w:hAnsi="Courier New"/>
      </w:rPr>
    </w:lvl>
    <w:lvl w:ilvl="5" w:tplc="508C70DE">
      <w:start w:val="1"/>
      <w:numFmt w:val="bullet"/>
      <w:lvlText w:val=""/>
      <w:lvlJc w:val="left"/>
      <w:pPr>
        <w:ind w:left="2400" w:hanging="360"/>
      </w:pPr>
      <w:rPr>
        <w:rFonts w:ascii="Wingdings" w:hAnsi="Wingdings"/>
      </w:rPr>
    </w:lvl>
    <w:lvl w:ilvl="6" w:tplc="77209074">
      <w:start w:val="1"/>
      <w:numFmt w:val="bullet"/>
      <w:lvlText w:val=""/>
      <w:lvlJc w:val="left"/>
      <w:pPr>
        <w:ind w:left="2800" w:hanging="360"/>
      </w:pPr>
      <w:rPr>
        <w:rFonts w:ascii="Symbol" w:hAnsi="Symbol"/>
      </w:rPr>
    </w:lvl>
    <w:lvl w:ilvl="7" w:tplc="36CE079C">
      <w:start w:val="1"/>
      <w:numFmt w:val="bullet"/>
      <w:lvlText w:val="o"/>
      <w:lvlJc w:val="left"/>
      <w:pPr>
        <w:ind w:left="3200" w:hanging="360"/>
      </w:pPr>
      <w:rPr>
        <w:rFonts w:ascii="Courier New" w:hAnsi="Courier New"/>
      </w:rPr>
    </w:lvl>
    <w:lvl w:ilvl="8" w:tplc="46269F58">
      <w:numFmt w:val="decimal"/>
      <w:lvlText w:val=""/>
      <w:lvlJc w:val="left"/>
    </w:lvl>
  </w:abstractNum>
  <w:abstractNum w:abstractNumId="1" w15:restartNumberingAfterBreak="0">
    <w:nsid w:val="1CF80D9D"/>
    <w:multiLevelType w:val="hybridMultilevel"/>
    <w:tmpl w:val="E1F62C70"/>
    <w:lvl w:ilvl="0" w:tplc="4E6CF03C">
      <w:start w:val="1"/>
      <w:numFmt w:val="bullet"/>
      <w:lvlText w:val=""/>
      <w:lvlJc w:val="left"/>
      <w:pPr>
        <w:ind w:left="400" w:hanging="360"/>
      </w:pPr>
      <w:rPr>
        <w:rFonts w:ascii="Symbol" w:hAnsi="Symbol"/>
      </w:rPr>
    </w:lvl>
    <w:lvl w:ilvl="1" w:tplc="BB94A380">
      <w:start w:val="1"/>
      <w:numFmt w:val="bullet"/>
      <w:lvlText w:val="o"/>
      <w:lvlJc w:val="left"/>
      <w:pPr>
        <w:ind w:left="800" w:hanging="360"/>
      </w:pPr>
      <w:rPr>
        <w:rFonts w:ascii="Courier New" w:hAnsi="Courier New"/>
      </w:rPr>
    </w:lvl>
    <w:lvl w:ilvl="2" w:tplc="F7F297CE">
      <w:start w:val="1"/>
      <w:numFmt w:val="bullet"/>
      <w:lvlText w:val=""/>
      <w:lvlJc w:val="left"/>
      <w:pPr>
        <w:ind w:left="1200" w:hanging="360"/>
      </w:pPr>
      <w:rPr>
        <w:rFonts w:ascii="Wingdings" w:hAnsi="Wingdings"/>
      </w:rPr>
    </w:lvl>
    <w:lvl w:ilvl="3" w:tplc="63124452">
      <w:start w:val="1"/>
      <w:numFmt w:val="bullet"/>
      <w:lvlText w:val=""/>
      <w:lvlJc w:val="left"/>
      <w:pPr>
        <w:ind w:left="1600" w:hanging="360"/>
      </w:pPr>
      <w:rPr>
        <w:rFonts w:ascii="Symbol" w:hAnsi="Symbol"/>
      </w:rPr>
    </w:lvl>
    <w:lvl w:ilvl="4" w:tplc="4F20EC3A">
      <w:start w:val="1"/>
      <w:numFmt w:val="bullet"/>
      <w:lvlText w:val="o"/>
      <w:lvlJc w:val="left"/>
      <w:pPr>
        <w:ind w:left="2000" w:hanging="360"/>
      </w:pPr>
      <w:rPr>
        <w:rFonts w:ascii="Courier New" w:hAnsi="Courier New"/>
      </w:rPr>
    </w:lvl>
    <w:lvl w:ilvl="5" w:tplc="067E5B92">
      <w:start w:val="1"/>
      <w:numFmt w:val="bullet"/>
      <w:lvlText w:val=""/>
      <w:lvlJc w:val="left"/>
      <w:pPr>
        <w:ind w:left="2400" w:hanging="360"/>
      </w:pPr>
      <w:rPr>
        <w:rFonts w:ascii="Wingdings" w:hAnsi="Wingdings"/>
      </w:rPr>
    </w:lvl>
    <w:lvl w:ilvl="6" w:tplc="766EC71E">
      <w:start w:val="1"/>
      <w:numFmt w:val="bullet"/>
      <w:lvlText w:val=""/>
      <w:lvlJc w:val="left"/>
      <w:pPr>
        <w:ind w:left="2800" w:hanging="360"/>
      </w:pPr>
      <w:rPr>
        <w:rFonts w:ascii="Symbol" w:hAnsi="Symbol"/>
      </w:rPr>
    </w:lvl>
    <w:lvl w:ilvl="7" w:tplc="4F6C6DA8">
      <w:start w:val="1"/>
      <w:numFmt w:val="bullet"/>
      <w:lvlText w:val="o"/>
      <w:lvlJc w:val="left"/>
      <w:pPr>
        <w:ind w:left="3200" w:hanging="360"/>
      </w:pPr>
      <w:rPr>
        <w:rFonts w:ascii="Courier New" w:hAnsi="Courier New"/>
      </w:rPr>
    </w:lvl>
    <w:lvl w:ilvl="8" w:tplc="33C213FC">
      <w:numFmt w:val="decimal"/>
      <w:lvlText w:val=""/>
      <w:lvlJc w:val="left"/>
    </w:lvl>
  </w:abstractNum>
  <w:abstractNum w:abstractNumId="2" w15:restartNumberingAfterBreak="0">
    <w:nsid w:val="26F42B50"/>
    <w:multiLevelType w:val="hybridMultilevel"/>
    <w:tmpl w:val="9E605BE4"/>
    <w:lvl w:ilvl="0" w:tplc="B0403C34">
      <w:start w:val="1"/>
      <w:numFmt w:val="bullet"/>
      <w:lvlText w:val=""/>
      <w:lvlJc w:val="left"/>
      <w:pPr>
        <w:ind w:left="400" w:hanging="360"/>
      </w:pPr>
      <w:rPr>
        <w:rFonts w:ascii="Symbol" w:hAnsi="Symbol"/>
      </w:rPr>
    </w:lvl>
    <w:lvl w:ilvl="1" w:tplc="1AD82362">
      <w:start w:val="1"/>
      <w:numFmt w:val="bullet"/>
      <w:lvlText w:val="o"/>
      <w:lvlJc w:val="left"/>
      <w:pPr>
        <w:ind w:left="800" w:hanging="360"/>
      </w:pPr>
      <w:rPr>
        <w:rFonts w:ascii="Courier New" w:hAnsi="Courier New"/>
      </w:rPr>
    </w:lvl>
    <w:lvl w:ilvl="2" w:tplc="C69CF3F4">
      <w:start w:val="1"/>
      <w:numFmt w:val="bullet"/>
      <w:lvlText w:val=""/>
      <w:lvlJc w:val="left"/>
      <w:pPr>
        <w:ind w:left="1200" w:hanging="360"/>
      </w:pPr>
      <w:rPr>
        <w:rFonts w:ascii="Wingdings" w:hAnsi="Wingdings"/>
      </w:rPr>
    </w:lvl>
    <w:lvl w:ilvl="3" w:tplc="93D4AB8A">
      <w:start w:val="1"/>
      <w:numFmt w:val="bullet"/>
      <w:lvlText w:val=""/>
      <w:lvlJc w:val="left"/>
      <w:pPr>
        <w:ind w:left="1600" w:hanging="360"/>
      </w:pPr>
      <w:rPr>
        <w:rFonts w:ascii="Symbol" w:hAnsi="Symbol"/>
      </w:rPr>
    </w:lvl>
    <w:lvl w:ilvl="4" w:tplc="6926665E">
      <w:start w:val="1"/>
      <w:numFmt w:val="bullet"/>
      <w:lvlText w:val="o"/>
      <w:lvlJc w:val="left"/>
      <w:pPr>
        <w:ind w:left="2000" w:hanging="360"/>
      </w:pPr>
      <w:rPr>
        <w:rFonts w:ascii="Courier New" w:hAnsi="Courier New"/>
      </w:rPr>
    </w:lvl>
    <w:lvl w:ilvl="5" w:tplc="C31229B2">
      <w:start w:val="1"/>
      <w:numFmt w:val="bullet"/>
      <w:lvlText w:val=""/>
      <w:lvlJc w:val="left"/>
      <w:pPr>
        <w:ind w:left="2400" w:hanging="360"/>
      </w:pPr>
      <w:rPr>
        <w:rFonts w:ascii="Wingdings" w:hAnsi="Wingdings"/>
      </w:rPr>
    </w:lvl>
    <w:lvl w:ilvl="6" w:tplc="FB62799A">
      <w:start w:val="1"/>
      <w:numFmt w:val="bullet"/>
      <w:lvlText w:val=""/>
      <w:lvlJc w:val="left"/>
      <w:pPr>
        <w:ind w:left="2800" w:hanging="360"/>
      </w:pPr>
      <w:rPr>
        <w:rFonts w:ascii="Symbol" w:hAnsi="Symbol"/>
      </w:rPr>
    </w:lvl>
    <w:lvl w:ilvl="7" w:tplc="6A8AD208">
      <w:start w:val="1"/>
      <w:numFmt w:val="bullet"/>
      <w:lvlText w:val="o"/>
      <w:lvlJc w:val="left"/>
      <w:pPr>
        <w:ind w:left="3200" w:hanging="360"/>
      </w:pPr>
      <w:rPr>
        <w:rFonts w:ascii="Courier New" w:hAnsi="Courier New"/>
      </w:rPr>
    </w:lvl>
    <w:lvl w:ilvl="8" w:tplc="053E8000">
      <w:numFmt w:val="decimal"/>
      <w:lvlText w:val=""/>
      <w:lvlJc w:val="left"/>
    </w:lvl>
  </w:abstractNum>
  <w:abstractNum w:abstractNumId="3" w15:restartNumberingAfterBreak="0">
    <w:nsid w:val="2C5B5F64"/>
    <w:multiLevelType w:val="hybridMultilevel"/>
    <w:tmpl w:val="73BE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85CF4"/>
    <w:multiLevelType w:val="hybridMultilevel"/>
    <w:tmpl w:val="477E3D7E"/>
    <w:lvl w:ilvl="0" w:tplc="0FE62E2A">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1A51C6"/>
    <w:multiLevelType w:val="hybridMultilevel"/>
    <w:tmpl w:val="C3B6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17967"/>
    <w:multiLevelType w:val="hybridMultilevel"/>
    <w:tmpl w:val="82F46BF8"/>
    <w:lvl w:ilvl="0" w:tplc="756C14EC">
      <w:start w:val="1"/>
      <w:numFmt w:val="bullet"/>
      <w:lvlText w:val=""/>
      <w:lvlJc w:val="left"/>
      <w:pPr>
        <w:ind w:left="400" w:hanging="360"/>
      </w:pPr>
      <w:rPr>
        <w:rFonts w:ascii="Symbol" w:hAnsi="Symbol"/>
      </w:rPr>
    </w:lvl>
    <w:lvl w:ilvl="1" w:tplc="0284F4DC">
      <w:start w:val="1"/>
      <w:numFmt w:val="bullet"/>
      <w:lvlText w:val="o"/>
      <w:lvlJc w:val="left"/>
      <w:pPr>
        <w:ind w:left="800" w:hanging="360"/>
      </w:pPr>
      <w:rPr>
        <w:rFonts w:ascii="Courier New" w:hAnsi="Courier New"/>
      </w:rPr>
    </w:lvl>
    <w:lvl w:ilvl="2" w:tplc="1F52E598">
      <w:start w:val="1"/>
      <w:numFmt w:val="bullet"/>
      <w:lvlText w:val=""/>
      <w:lvlJc w:val="left"/>
      <w:pPr>
        <w:ind w:left="1200" w:hanging="360"/>
      </w:pPr>
      <w:rPr>
        <w:rFonts w:ascii="Wingdings" w:hAnsi="Wingdings"/>
      </w:rPr>
    </w:lvl>
    <w:lvl w:ilvl="3" w:tplc="A1BE5D9E">
      <w:start w:val="1"/>
      <w:numFmt w:val="bullet"/>
      <w:lvlText w:val=""/>
      <w:lvlJc w:val="left"/>
      <w:pPr>
        <w:ind w:left="1600" w:hanging="360"/>
      </w:pPr>
      <w:rPr>
        <w:rFonts w:ascii="Symbol" w:hAnsi="Symbol"/>
      </w:rPr>
    </w:lvl>
    <w:lvl w:ilvl="4" w:tplc="E78A3722">
      <w:start w:val="1"/>
      <w:numFmt w:val="bullet"/>
      <w:lvlText w:val="o"/>
      <w:lvlJc w:val="left"/>
      <w:pPr>
        <w:ind w:left="2000" w:hanging="360"/>
      </w:pPr>
      <w:rPr>
        <w:rFonts w:ascii="Courier New" w:hAnsi="Courier New"/>
      </w:rPr>
    </w:lvl>
    <w:lvl w:ilvl="5" w:tplc="872069DC">
      <w:start w:val="1"/>
      <w:numFmt w:val="bullet"/>
      <w:lvlText w:val=""/>
      <w:lvlJc w:val="left"/>
      <w:pPr>
        <w:ind w:left="2400" w:hanging="360"/>
      </w:pPr>
      <w:rPr>
        <w:rFonts w:ascii="Wingdings" w:hAnsi="Wingdings"/>
      </w:rPr>
    </w:lvl>
    <w:lvl w:ilvl="6" w:tplc="A08E095C">
      <w:start w:val="1"/>
      <w:numFmt w:val="bullet"/>
      <w:lvlText w:val=""/>
      <w:lvlJc w:val="left"/>
      <w:pPr>
        <w:ind w:left="2800" w:hanging="360"/>
      </w:pPr>
      <w:rPr>
        <w:rFonts w:ascii="Symbol" w:hAnsi="Symbol"/>
      </w:rPr>
    </w:lvl>
    <w:lvl w:ilvl="7" w:tplc="7766EE00">
      <w:start w:val="1"/>
      <w:numFmt w:val="bullet"/>
      <w:lvlText w:val="o"/>
      <w:lvlJc w:val="left"/>
      <w:pPr>
        <w:ind w:left="3200" w:hanging="360"/>
      </w:pPr>
      <w:rPr>
        <w:rFonts w:ascii="Courier New" w:hAnsi="Courier New"/>
      </w:rPr>
    </w:lvl>
    <w:lvl w:ilvl="8" w:tplc="33825DAE">
      <w:numFmt w:val="decimal"/>
      <w:lvlText w:val=""/>
      <w:lvlJc w:val="left"/>
    </w:lvl>
  </w:abstractNum>
  <w:abstractNum w:abstractNumId="7" w15:restartNumberingAfterBreak="0">
    <w:nsid w:val="37796C94"/>
    <w:multiLevelType w:val="hybridMultilevel"/>
    <w:tmpl w:val="508C9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B457CF"/>
    <w:multiLevelType w:val="hybridMultilevel"/>
    <w:tmpl w:val="E5EA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C0D59"/>
    <w:multiLevelType w:val="hybridMultilevel"/>
    <w:tmpl w:val="8192317A"/>
    <w:lvl w:ilvl="0" w:tplc="A3A2FDEA">
      <w:start w:val="1"/>
      <w:numFmt w:val="decimal"/>
      <w:lvlText w:val="%1."/>
      <w:lvlJc w:val="left"/>
      <w:pPr>
        <w:ind w:left="400" w:hanging="360"/>
      </w:pPr>
    </w:lvl>
    <w:lvl w:ilvl="1" w:tplc="C87491CC">
      <w:start w:val="1"/>
      <w:numFmt w:val="lowerLetter"/>
      <w:lvlText w:val="%2."/>
      <w:lvlJc w:val="left"/>
      <w:pPr>
        <w:ind w:left="800" w:hanging="360"/>
      </w:pPr>
    </w:lvl>
    <w:lvl w:ilvl="2" w:tplc="B7F0F0E8">
      <w:start w:val="1"/>
      <w:numFmt w:val="lowerRoman"/>
      <w:lvlText w:val="%3."/>
      <w:lvlJc w:val="right"/>
      <w:pPr>
        <w:ind w:left="1200" w:hanging="180"/>
      </w:pPr>
    </w:lvl>
    <w:lvl w:ilvl="3" w:tplc="941C9472">
      <w:start w:val="1"/>
      <w:numFmt w:val="decimal"/>
      <w:lvlText w:val="%4."/>
      <w:lvlJc w:val="left"/>
      <w:pPr>
        <w:ind w:left="1600" w:hanging="360"/>
      </w:pPr>
    </w:lvl>
    <w:lvl w:ilvl="4" w:tplc="6F64D4CA">
      <w:start w:val="1"/>
      <w:numFmt w:val="lowerLetter"/>
      <w:lvlText w:val="%5."/>
      <w:lvlJc w:val="left"/>
      <w:pPr>
        <w:ind w:left="2000" w:hanging="360"/>
      </w:pPr>
    </w:lvl>
    <w:lvl w:ilvl="5" w:tplc="CF1E2DE4">
      <w:start w:val="1"/>
      <w:numFmt w:val="lowerRoman"/>
      <w:lvlText w:val="%6."/>
      <w:lvlJc w:val="right"/>
      <w:pPr>
        <w:ind w:left="2400" w:hanging="180"/>
      </w:pPr>
    </w:lvl>
    <w:lvl w:ilvl="6" w:tplc="D46AA3D8">
      <w:start w:val="1"/>
      <w:numFmt w:val="decimal"/>
      <w:lvlText w:val="%7."/>
      <w:lvlJc w:val="left"/>
      <w:pPr>
        <w:ind w:left="2800" w:hanging="360"/>
      </w:pPr>
    </w:lvl>
    <w:lvl w:ilvl="7" w:tplc="44200FA2">
      <w:start w:val="1"/>
      <w:numFmt w:val="lowerLetter"/>
      <w:lvlText w:val="%8."/>
      <w:lvlJc w:val="left"/>
      <w:pPr>
        <w:ind w:left="3200" w:hanging="360"/>
      </w:pPr>
    </w:lvl>
    <w:lvl w:ilvl="8" w:tplc="2068A6DA">
      <w:numFmt w:val="decimal"/>
      <w:lvlText w:val=""/>
      <w:lvlJc w:val="left"/>
    </w:lvl>
  </w:abstractNum>
  <w:abstractNum w:abstractNumId="10"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1" w15:restartNumberingAfterBreak="0">
    <w:nsid w:val="4CC43957"/>
    <w:multiLevelType w:val="hybridMultilevel"/>
    <w:tmpl w:val="0E0A133A"/>
    <w:lvl w:ilvl="0" w:tplc="12E8A978">
      <w:start w:val="1"/>
      <w:numFmt w:val="bullet"/>
      <w:lvlText w:val=""/>
      <w:lvlJc w:val="left"/>
      <w:pPr>
        <w:ind w:left="400" w:hanging="360"/>
      </w:pPr>
      <w:rPr>
        <w:rFonts w:ascii="Symbol" w:hAnsi="Symbol"/>
      </w:rPr>
    </w:lvl>
    <w:lvl w:ilvl="1" w:tplc="EAD456E8">
      <w:start w:val="1"/>
      <w:numFmt w:val="bullet"/>
      <w:lvlText w:val="o"/>
      <w:lvlJc w:val="left"/>
      <w:pPr>
        <w:ind w:left="800" w:hanging="360"/>
      </w:pPr>
      <w:rPr>
        <w:rFonts w:ascii="Courier New" w:hAnsi="Courier New"/>
      </w:rPr>
    </w:lvl>
    <w:lvl w:ilvl="2" w:tplc="6FF4665E">
      <w:start w:val="1"/>
      <w:numFmt w:val="bullet"/>
      <w:lvlText w:val=""/>
      <w:lvlJc w:val="left"/>
      <w:pPr>
        <w:ind w:left="1200" w:hanging="360"/>
      </w:pPr>
      <w:rPr>
        <w:rFonts w:ascii="Wingdings" w:hAnsi="Wingdings"/>
      </w:rPr>
    </w:lvl>
    <w:lvl w:ilvl="3" w:tplc="9E188D02">
      <w:start w:val="1"/>
      <w:numFmt w:val="bullet"/>
      <w:lvlText w:val=""/>
      <w:lvlJc w:val="left"/>
      <w:pPr>
        <w:ind w:left="1600" w:hanging="360"/>
      </w:pPr>
      <w:rPr>
        <w:rFonts w:ascii="Symbol" w:hAnsi="Symbol"/>
      </w:rPr>
    </w:lvl>
    <w:lvl w:ilvl="4" w:tplc="FBEE8374">
      <w:start w:val="1"/>
      <w:numFmt w:val="bullet"/>
      <w:lvlText w:val="o"/>
      <w:lvlJc w:val="left"/>
      <w:pPr>
        <w:ind w:left="2000" w:hanging="360"/>
      </w:pPr>
      <w:rPr>
        <w:rFonts w:ascii="Courier New" w:hAnsi="Courier New"/>
      </w:rPr>
    </w:lvl>
    <w:lvl w:ilvl="5" w:tplc="6608CAAE">
      <w:start w:val="1"/>
      <w:numFmt w:val="bullet"/>
      <w:lvlText w:val=""/>
      <w:lvlJc w:val="left"/>
      <w:pPr>
        <w:ind w:left="2400" w:hanging="360"/>
      </w:pPr>
      <w:rPr>
        <w:rFonts w:ascii="Wingdings" w:hAnsi="Wingdings"/>
      </w:rPr>
    </w:lvl>
    <w:lvl w:ilvl="6" w:tplc="242CFDA2">
      <w:start w:val="1"/>
      <w:numFmt w:val="bullet"/>
      <w:lvlText w:val=""/>
      <w:lvlJc w:val="left"/>
      <w:pPr>
        <w:ind w:left="2800" w:hanging="360"/>
      </w:pPr>
      <w:rPr>
        <w:rFonts w:ascii="Symbol" w:hAnsi="Symbol"/>
      </w:rPr>
    </w:lvl>
    <w:lvl w:ilvl="7" w:tplc="F3883A10">
      <w:start w:val="1"/>
      <w:numFmt w:val="bullet"/>
      <w:lvlText w:val="o"/>
      <w:lvlJc w:val="left"/>
      <w:pPr>
        <w:ind w:left="3200" w:hanging="360"/>
      </w:pPr>
      <w:rPr>
        <w:rFonts w:ascii="Courier New" w:hAnsi="Courier New"/>
      </w:rPr>
    </w:lvl>
    <w:lvl w:ilvl="8" w:tplc="EC8A147A">
      <w:numFmt w:val="decimal"/>
      <w:lvlText w:val=""/>
      <w:lvlJc w:val="left"/>
    </w:lvl>
  </w:abstractNum>
  <w:abstractNum w:abstractNumId="12" w15:restartNumberingAfterBreak="0">
    <w:nsid w:val="52BA636C"/>
    <w:multiLevelType w:val="hybridMultilevel"/>
    <w:tmpl w:val="C29096E6"/>
    <w:lvl w:ilvl="0" w:tplc="5BF64FEE">
      <w:start w:val="1"/>
      <w:numFmt w:val="bullet"/>
      <w:lvlText w:val=""/>
      <w:lvlJc w:val="left"/>
      <w:pPr>
        <w:ind w:left="400" w:hanging="360"/>
      </w:pPr>
      <w:rPr>
        <w:rFonts w:ascii="Symbol" w:hAnsi="Symbol"/>
      </w:rPr>
    </w:lvl>
    <w:lvl w:ilvl="1" w:tplc="E12018F6">
      <w:start w:val="1"/>
      <w:numFmt w:val="bullet"/>
      <w:lvlText w:val="o"/>
      <w:lvlJc w:val="left"/>
      <w:pPr>
        <w:ind w:left="800" w:hanging="360"/>
      </w:pPr>
      <w:rPr>
        <w:rFonts w:ascii="Courier New" w:hAnsi="Courier New"/>
      </w:rPr>
    </w:lvl>
    <w:lvl w:ilvl="2" w:tplc="10A021B0">
      <w:start w:val="1"/>
      <w:numFmt w:val="bullet"/>
      <w:lvlText w:val=""/>
      <w:lvlJc w:val="left"/>
      <w:pPr>
        <w:ind w:left="1200" w:hanging="360"/>
      </w:pPr>
      <w:rPr>
        <w:rFonts w:ascii="Wingdings" w:hAnsi="Wingdings"/>
      </w:rPr>
    </w:lvl>
    <w:lvl w:ilvl="3" w:tplc="E7624F7A">
      <w:start w:val="1"/>
      <w:numFmt w:val="bullet"/>
      <w:lvlText w:val=""/>
      <w:lvlJc w:val="left"/>
      <w:pPr>
        <w:ind w:left="1600" w:hanging="360"/>
      </w:pPr>
      <w:rPr>
        <w:rFonts w:ascii="Symbol" w:hAnsi="Symbol"/>
      </w:rPr>
    </w:lvl>
    <w:lvl w:ilvl="4" w:tplc="514C6A0A">
      <w:start w:val="1"/>
      <w:numFmt w:val="bullet"/>
      <w:lvlText w:val="o"/>
      <w:lvlJc w:val="left"/>
      <w:pPr>
        <w:ind w:left="2000" w:hanging="360"/>
      </w:pPr>
      <w:rPr>
        <w:rFonts w:ascii="Courier New" w:hAnsi="Courier New"/>
      </w:rPr>
    </w:lvl>
    <w:lvl w:ilvl="5" w:tplc="6344BA2C">
      <w:start w:val="1"/>
      <w:numFmt w:val="bullet"/>
      <w:lvlText w:val=""/>
      <w:lvlJc w:val="left"/>
      <w:pPr>
        <w:ind w:left="2400" w:hanging="360"/>
      </w:pPr>
      <w:rPr>
        <w:rFonts w:ascii="Wingdings" w:hAnsi="Wingdings"/>
      </w:rPr>
    </w:lvl>
    <w:lvl w:ilvl="6" w:tplc="C2F852B2">
      <w:start w:val="1"/>
      <w:numFmt w:val="bullet"/>
      <w:lvlText w:val=""/>
      <w:lvlJc w:val="left"/>
      <w:pPr>
        <w:ind w:left="2800" w:hanging="360"/>
      </w:pPr>
      <w:rPr>
        <w:rFonts w:ascii="Symbol" w:hAnsi="Symbol"/>
      </w:rPr>
    </w:lvl>
    <w:lvl w:ilvl="7" w:tplc="E4B8E7EA">
      <w:start w:val="1"/>
      <w:numFmt w:val="bullet"/>
      <w:lvlText w:val="o"/>
      <w:lvlJc w:val="left"/>
      <w:pPr>
        <w:ind w:left="3200" w:hanging="360"/>
      </w:pPr>
      <w:rPr>
        <w:rFonts w:ascii="Courier New" w:hAnsi="Courier New"/>
      </w:rPr>
    </w:lvl>
    <w:lvl w:ilvl="8" w:tplc="BFDE22A0">
      <w:numFmt w:val="decimal"/>
      <w:lvlText w:val=""/>
      <w:lvlJc w:val="left"/>
    </w:lvl>
  </w:abstractNum>
  <w:abstractNum w:abstractNumId="13" w15:restartNumberingAfterBreak="0">
    <w:nsid w:val="552F3B9F"/>
    <w:multiLevelType w:val="hybridMultilevel"/>
    <w:tmpl w:val="1C507EC0"/>
    <w:lvl w:ilvl="0" w:tplc="FA2C14D4">
      <w:start w:val="1"/>
      <w:numFmt w:val="decimal"/>
      <w:lvlText w:val="%1."/>
      <w:lvlJc w:val="left"/>
      <w:pPr>
        <w:ind w:left="400" w:hanging="360"/>
      </w:pPr>
    </w:lvl>
    <w:lvl w:ilvl="1" w:tplc="7B723A66">
      <w:start w:val="1"/>
      <w:numFmt w:val="lowerLetter"/>
      <w:lvlText w:val="%2."/>
      <w:lvlJc w:val="left"/>
      <w:pPr>
        <w:ind w:left="800" w:hanging="360"/>
      </w:pPr>
    </w:lvl>
    <w:lvl w:ilvl="2" w:tplc="A7645256">
      <w:start w:val="1"/>
      <w:numFmt w:val="lowerRoman"/>
      <w:lvlText w:val="%3."/>
      <w:lvlJc w:val="right"/>
      <w:pPr>
        <w:ind w:left="1200" w:hanging="180"/>
      </w:pPr>
    </w:lvl>
    <w:lvl w:ilvl="3" w:tplc="20BC53F0">
      <w:start w:val="1"/>
      <w:numFmt w:val="decimal"/>
      <w:lvlText w:val="%4."/>
      <w:lvlJc w:val="left"/>
      <w:pPr>
        <w:ind w:left="1600" w:hanging="360"/>
      </w:pPr>
    </w:lvl>
    <w:lvl w:ilvl="4" w:tplc="86B8A810">
      <w:start w:val="1"/>
      <w:numFmt w:val="lowerLetter"/>
      <w:lvlText w:val="%5."/>
      <w:lvlJc w:val="left"/>
      <w:pPr>
        <w:ind w:left="2000" w:hanging="360"/>
      </w:pPr>
    </w:lvl>
    <w:lvl w:ilvl="5" w:tplc="DA3CC0AC">
      <w:start w:val="1"/>
      <w:numFmt w:val="lowerRoman"/>
      <w:lvlText w:val="%6."/>
      <w:lvlJc w:val="right"/>
      <w:pPr>
        <w:ind w:left="2400" w:hanging="180"/>
      </w:pPr>
    </w:lvl>
    <w:lvl w:ilvl="6" w:tplc="076AC746">
      <w:start w:val="1"/>
      <w:numFmt w:val="decimal"/>
      <w:lvlText w:val="%7."/>
      <w:lvlJc w:val="left"/>
      <w:pPr>
        <w:ind w:left="2800" w:hanging="360"/>
      </w:pPr>
    </w:lvl>
    <w:lvl w:ilvl="7" w:tplc="5CB04B00">
      <w:start w:val="1"/>
      <w:numFmt w:val="lowerLetter"/>
      <w:lvlText w:val="%8."/>
      <w:lvlJc w:val="left"/>
      <w:pPr>
        <w:ind w:left="3200" w:hanging="360"/>
      </w:pPr>
    </w:lvl>
    <w:lvl w:ilvl="8" w:tplc="C3CE43F0">
      <w:numFmt w:val="decimal"/>
      <w:lvlText w:val=""/>
      <w:lvlJc w:val="left"/>
    </w:lvl>
  </w:abstractNum>
  <w:abstractNum w:abstractNumId="14" w15:restartNumberingAfterBreak="0">
    <w:nsid w:val="5D572E0D"/>
    <w:multiLevelType w:val="hybridMultilevel"/>
    <w:tmpl w:val="26A4ED18"/>
    <w:lvl w:ilvl="0" w:tplc="31D05FE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5F3A19"/>
    <w:multiLevelType w:val="hybridMultilevel"/>
    <w:tmpl w:val="2CD6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73850"/>
    <w:multiLevelType w:val="hybridMultilevel"/>
    <w:tmpl w:val="CB82EAB8"/>
    <w:lvl w:ilvl="0" w:tplc="0FE62E2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FC476D"/>
    <w:multiLevelType w:val="hybridMultilevel"/>
    <w:tmpl w:val="AA5047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5A2514"/>
    <w:multiLevelType w:val="hybridMultilevel"/>
    <w:tmpl w:val="3214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CC3EEB"/>
    <w:multiLevelType w:val="hybridMultilevel"/>
    <w:tmpl w:val="130E3DB8"/>
    <w:lvl w:ilvl="0" w:tplc="3B4E8D4A">
      <w:start w:val="1"/>
      <w:numFmt w:val="bullet"/>
      <w:lvlText w:val=""/>
      <w:lvlJc w:val="left"/>
      <w:pPr>
        <w:ind w:left="400" w:hanging="360"/>
      </w:pPr>
      <w:rPr>
        <w:rFonts w:ascii="Symbol" w:hAnsi="Symbol"/>
      </w:rPr>
    </w:lvl>
    <w:lvl w:ilvl="1" w:tplc="D37E138C">
      <w:start w:val="1"/>
      <w:numFmt w:val="bullet"/>
      <w:lvlText w:val="o"/>
      <w:lvlJc w:val="left"/>
      <w:pPr>
        <w:ind w:left="800" w:hanging="360"/>
      </w:pPr>
      <w:rPr>
        <w:rFonts w:ascii="Courier New" w:hAnsi="Courier New"/>
      </w:rPr>
    </w:lvl>
    <w:lvl w:ilvl="2" w:tplc="46A69F48">
      <w:start w:val="1"/>
      <w:numFmt w:val="bullet"/>
      <w:lvlText w:val=""/>
      <w:lvlJc w:val="left"/>
      <w:pPr>
        <w:ind w:left="1200" w:hanging="360"/>
      </w:pPr>
      <w:rPr>
        <w:rFonts w:ascii="Wingdings" w:hAnsi="Wingdings"/>
      </w:rPr>
    </w:lvl>
    <w:lvl w:ilvl="3" w:tplc="F9BC646E">
      <w:start w:val="1"/>
      <w:numFmt w:val="bullet"/>
      <w:lvlText w:val=""/>
      <w:lvlJc w:val="left"/>
      <w:pPr>
        <w:ind w:left="1600" w:hanging="360"/>
      </w:pPr>
      <w:rPr>
        <w:rFonts w:ascii="Symbol" w:hAnsi="Symbol"/>
      </w:rPr>
    </w:lvl>
    <w:lvl w:ilvl="4" w:tplc="588679A8">
      <w:start w:val="1"/>
      <w:numFmt w:val="bullet"/>
      <w:lvlText w:val="o"/>
      <w:lvlJc w:val="left"/>
      <w:pPr>
        <w:ind w:left="2000" w:hanging="360"/>
      </w:pPr>
      <w:rPr>
        <w:rFonts w:ascii="Courier New" w:hAnsi="Courier New"/>
      </w:rPr>
    </w:lvl>
    <w:lvl w:ilvl="5" w:tplc="B7DACB06">
      <w:start w:val="1"/>
      <w:numFmt w:val="bullet"/>
      <w:lvlText w:val=""/>
      <w:lvlJc w:val="left"/>
      <w:pPr>
        <w:ind w:left="2400" w:hanging="360"/>
      </w:pPr>
      <w:rPr>
        <w:rFonts w:ascii="Wingdings" w:hAnsi="Wingdings"/>
      </w:rPr>
    </w:lvl>
    <w:lvl w:ilvl="6" w:tplc="5FCA5C7C">
      <w:start w:val="1"/>
      <w:numFmt w:val="bullet"/>
      <w:lvlText w:val=""/>
      <w:lvlJc w:val="left"/>
      <w:pPr>
        <w:ind w:left="2800" w:hanging="360"/>
      </w:pPr>
      <w:rPr>
        <w:rFonts w:ascii="Symbol" w:hAnsi="Symbol"/>
      </w:rPr>
    </w:lvl>
    <w:lvl w:ilvl="7" w:tplc="8EBA12A0">
      <w:start w:val="1"/>
      <w:numFmt w:val="bullet"/>
      <w:lvlText w:val="o"/>
      <w:lvlJc w:val="left"/>
      <w:pPr>
        <w:ind w:left="3200" w:hanging="360"/>
      </w:pPr>
      <w:rPr>
        <w:rFonts w:ascii="Courier New" w:hAnsi="Courier New"/>
      </w:rPr>
    </w:lvl>
    <w:lvl w:ilvl="8" w:tplc="FE72076C">
      <w:numFmt w:val="decimal"/>
      <w:lvlText w:val=""/>
      <w:lvlJc w:val="left"/>
    </w:lvl>
  </w:abstractNum>
  <w:abstractNum w:abstractNumId="20" w15:restartNumberingAfterBreak="0">
    <w:nsid w:val="7BFE20D1"/>
    <w:multiLevelType w:val="hybridMultilevel"/>
    <w:tmpl w:val="3E4C7E60"/>
    <w:lvl w:ilvl="0" w:tplc="CA9C5366">
      <w:start w:val="1"/>
      <w:numFmt w:val="bullet"/>
      <w:lvlText w:val=""/>
      <w:lvlJc w:val="left"/>
      <w:pPr>
        <w:ind w:left="400" w:hanging="360"/>
      </w:pPr>
      <w:rPr>
        <w:rFonts w:ascii="Symbol" w:hAnsi="Symbol"/>
      </w:rPr>
    </w:lvl>
    <w:lvl w:ilvl="1" w:tplc="CF523A60">
      <w:start w:val="1"/>
      <w:numFmt w:val="bullet"/>
      <w:lvlText w:val="o"/>
      <w:lvlJc w:val="left"/>
      <w:pPr>
        <w:ind w:left="800" w:hanging="360"/>
      </w:pPr>
      <w:rPr>
        <w:rFonts w:ascii="Courier New" w:hAnsi="Courier New"/>
      </w:rPr>
    </w:lvl>
    <w:lvl w:ilvl="2" w:tplc="FB302DDE">
      <w:start w:val="1"/>
      <w:numFmt w:val="bullet"/>
      <w:lvlText w:val=""/>
      <w:lvlJc w:val="left"/>
      <w:pPr>
        <w:ind w:left="1200" w:hanging="360"/>
      </w:pPr>
      <w:rPr>
        <w:rFonts w:ascii="Wingdings" w:hAnsi="Wingdings"/>
      </w:rPr>
    </w:lvl>
    <w:lvl w:ilvl="3" w:tplc="19ECD92A">
      <w:start w:val="1"/>
      <w:numFmt w:val="bullet"/>
      <w:lvlText w:val=""/>
      <w:lvlJc w:val="left"/>
      <w:pPr>
        <w:ind w:left="1600" w:hanging="360"/>
      </w:pPr>
      <w:rPr>
        <w:rFonts w:ascii="Symbol" w:hAnsi="Symbol"/>
      </w:rPr>
    </w:lvl>
    <w:lvl w:ilvl="4" w:tplc="9A4E217E">
      <w:start w:val="1"/>
      <w:numFmt w:val="bullet"/>
      <w:lvlText w:val="o"/>
      <w:lvlJc w:val="left"/>
      <w:pPr>
        <w:ind w:left="2000" w:hanging="360"/>
      </w:pPr>
      <w:rPr>
        <w:rFonts w:ascii="Courier New" w:hAnsi="Courier New"/>
      </w:rPr>
    </w:lvl>
    <w:lvl w:ilvl="5" w:tplc="60B43F6C">
      <w:start w:val="1"/>
      <w:numFmt w:val="bullet"/>
      <w:lvlText w:val=""/>
      <w:lvlJc w:val="left"/>
      <w:pPr>
        <w:ind w:left="2400" w:hanging="360"/>
      </w:pPr>
      <w:rPr>
        <w:rFonts w:ascii="Wingdings" w:hAnsi="Wingdings"/>
      </w:rPr>
    </w:lvl>
    <w:lvl w:ilvl="6" w:tplc="A07C3016">
      <w:start w:val="1"/>
      <w:numFmt w:val="bullet"/>
      <w:lvlText w:val=""/>
      <w:lvlJc w:val="left"/>
      <w:pPr>
        <w:ind w:left="2800" w:hanging="360"/>
      </w:pPr>
      <w:rPr>
        <w:rFonts w:ascii="Symbol" w:hAnsi="Symbol"/>
      </w:rPr>
    </w:lvl>
    <w:lvl w:ilvl="7" w:tplc="1AE646F4">
      <w:start w:val="1"/>
      <w:numFmt w:val="bullet"/>
      <w:lvlText w:val="o"/>
      <w:lvlJc w:val="left"/>
      <w:pPr>
        <w:ind w:left="3200" w:hanging="360"/>
      </w:pPr>
      <w:rPr>
        <w:rFonts w:ascii="Courier New" w:hAnsi="Courier New"/>
      </w:rPr>
    </w:lvl>
    <w:lvl w:ilvl="8" w:tplc="5996413E">
      <w:numFmt w:val="decimal"/>
      <w:lvlText w:val=""/>
      <w:lvlJc w:val="left"/>
    </w:lvl>
  </w:abstractNum>
  <w:abstractNum w:abstractNumId="21" w15:restartNumberingAfterBreak="0">
    <w:nsid w:val="7E404317"/>
    <w:multiLevelType w:val="hybridMultilevel"/>
    <w:tmpl w:val="07D0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714066">
    <w:abstractNumId w:val="12"/>
  </w:num>
  <w:num w:numId="2" w16cid:durableId="1751123344">
    <w:abstractNumId w:val="13"/>
  </w:num>
  <w:num w:numId="3" w16cid:durableId="626159941">
    <w:abstractNumId w:val="1"/>
  </w:num>
  <w:num w:numId="4" w16cid:durableId="501748552">
    <w:abstractNumId w:val="9"/>
  </w:num>
  <w:num w:numId="5" w16cid:durableId="140585980">
    <w:abstractNumId w:val="11"/>
  </w:num>
  <w:num w:numId="6" w16cid:durableId="1217623886">
    <w:abstractNumId w:val="19"/>
  </w:num>
  <w:num w:numId="7" w16cid:durableId="1052658090">
    <w:abstractNumId w:val="0"/>
  </w:num>
  <w:num w:numId="8" w16cid:durableId="1445348593">
    <w:abstractNumId w:val="6"/>
  </w:num>
  <w:num w:numId="9" w16cid:durableId="666709359">
    <w:abstractNumId w:val="20"/>
  </w:num>
  <w:num w:numId="10" w16cid:durableId="366175464">
    <w:abstractNumId w:val="2"/>
  </w:num>
  <w:num w:numId="11" w16cid:durableId="707873471">
    <w:abstractNumId w:val="5"/>
  </w:num>
  <w:num w:numId="12" w16cid:durableId="1673484666">
    <w:abstractNumId w:val="17"/>
  </w:num>
  <w:num w:numId="13" w16cid:durableId="627246579">
    <w:abstractNumId w:val="18"/>
  </w:num>
  <w:num w:numId="14" w16cid:durableId="1658536161">
    <w:abstractNumId w:val="10"/>
  </w:num>
  <w:num w:numId="15" w16cid:durableId="1456018744">
    <w:abstractNumId w:val="16"/>
  </w:num>
  <w:num w:numId="16" w16cid:durableId="448817736">
    <w:abstractNumId w:val="4"/>
  </w:num>
  <w:num w:numId="17" w16cid:durableId="1639604908">
    <w:abstractNumId w:val="3"/>
  </w:num>
  <w:num w:numId="18" w16cid:durableId="45489452">
    <w:abstractNumId w:val="14"/>
  </w:num>
  <w:num w:numId="19" w16cid:durableId="2077702017">
    <w:abstractNumId w:val="21"/>
  </w:num>
  <w:num w:numId="20" w16cid:durableId="1584992981">
    <w:abstractNumId w:val="7"/>
  </w:num>
  <w:num w:numId="21" w16cid:durableId="1774206844">
    <w:abstractNumId w:val="8"/>
  </w:num>
  <w:num w:numId="22" w16cid:durableId="453329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F28F6"/>
    <w:rsid w:val="00070B02"/>
    <w:rsid w:val="00122430"/>
    <w:rsid w:val="001D08D9"/>
    <w:rsid w:val="00245EDA"/>
    <w:rsid w:val="00346C6B"/>
    <w:rsid w:val="00361C18"/>
    <w:rsid w:val="003E3919"/>
    <w:rsid w:val="003F4867"/>
    <w:rsid w:val="00423435"/>
    <w:rsid w:val="00551DA3"/>
    <w:rsid w:val="005814EB"/>
    <w:rsid w:val="005D0DB2"/>
    <w:rsid w:val="006250E2"/>
    <w:rsid w:val="0063461B"/>
    <w:rsid w:val="006D32E6"/>
    <w:rsid w:val="0075607E"/>
    <w:rsid w:val="00772015"/>
    <w:rsid w:val="0080486F"/>
    <w:rsid w:val="0083311A"/>
    <w:rsid w:val="00A41F90"/>
    <w:rsid w:val="00A47EBE"/>
    <w:rsid w:val="00A76127"/>
    <w:rsid w:val="00B34127"/>
    <w:rsid w:val="00BD6BED"/>
    <w:rsid w:val="00CC0562"/>
    <w:rsid w:val="00D6251A"/>
    <w:rsid w:val="00DA23B1"/>
    <w:rsid w:val="00DB7493"/>
    <w:rsid w:val="00E4254A"/>
    <w:rsid w:val="00EB6B11"/>
    <w:rsid w:val="00F51095"/>
    <w:rsid w:val="00FF2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B7FF7C"/>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2E6"/>
    <w:pPr>
      <w:ind w:left="720"/>
      <w:contextualSpacing/>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6D32E6"/>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6D32E6"/>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
    <w:basedOn w:val="DefaultParagraphFont"/>
    <w:uiPriority w:val="99"/>
    <w:unhideWhenUsed/>
    <w:qFormat/>
    <w:rsid w:val="006D32E6"/>
    <w:rPr>
      <w:vertAlign w:val="superscript"/>
    </w:rPr>
  </w:style>
  <w:style w:type="table" w:styleId="TableGrid">
    <w:name w:val="Table Grid"/>
    <w:basedOn w:val="TableNormal"/>
    <w:uiPriority w:val="39"/>
    <w:rsid w:val="00EB6B11"/>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B11"/>
    <w:pPr>
      <w:tabs>
        <w:tab w:val="center" w:pos="4680"/>
        <w:tab w:val="right" w:pos="9360"/>
      </w:tabs>
    </w:pPr>
  </w:style>
  <w:style w:type="character" w:customStyle="1" w:styleId="HeaderChar">
    <w:name w:val="Header Char"/>
    <w:basedOn w:val="DefaultParagraphFont"/>
    <w:link w:val="Header"/>
    <w:uiPriority w:val="99"/>
    <w:rsid w:val="00EB6B11"/>
  </w:style>
  <w:style w:type="paragraph" w:styleId="Footer">
    <w:name w:val="footer"/>
    <w:basedOn w:val="Normal"/>
    <w:link w:val="FooterChar"/>
    <w:uiPriority w:val="99"/>
    <w:unhideWhenUsed/>
    <w:rsid w:val="00A41F90"/>
    <w:pPr>
      <w:tabs>
        <w:tab w:val="center" w:pos="4680"/>
        <w:tab w:val="right" w:pos="9360"/>
      </w:tabs>
    </w:pPr>
  </w:style>
  <w:style w:type="character" w:customStyle="1" w:styleId="FooterChar">
    <w:name w:val="Footer Char"/>
    <w:basedOn w:val="DefaultParagraphFont"/>
    <w:link w:val="Footer"/>
    <w:uiPriority w:val="99"/>
    <w:rsid w:val="00A41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860787">
      <w:bodyDiv w:val="1"/>
      <w:marLeft w:val="0"/>
      <w:marRight w:val="0"/>
      <w:marTop w:val="0"/>
      <w:marBottom w:val="0"/>
      <w:divBdr>
        <w:top w:val="none" w:sz="0" w:space="0" w:color="auto"/>
        <w:left w:val="none" w:sz="0" w:space="0" w:color="auto"/>
        <w:bottom w:val="none" w:sz="0" w:space="0" w:color="auto"/>
        <w:right w:val="none" w:sz="0" w:space="0" w:color="auto"/>
      </w:divBdr>
    </w:div>
    <w:div w:id="1100226282">
      <w:bodyDiv w:val="1"/>
      <w:marLeft w:val="0"/>
      <w:marRight w:val="0"/>
      <w:marTop w:val="0"/>
      <w:marBottom w:val="0"/>
      <w:divBdr>
        <w:top w:val="none" w:sz="0" w:space="0" w:color="auto"/>
        <w:left w:val="none" w:sz="0" w:space="0" w:color="auto"/>
        <w:bottom w:val="none" w:sz="0" w:space="0" w:color="auto"/>
        <w:right w:val="none" w:sz="0" w:space="0" w:color="auto"/>
      </w:divBdr>
    </w:div>
    <w:div w:id="1442644099">
      <w:bodyDiv w:val="1"/>
      <w:marLeft w:val="0"/>
      <w:marRight w:val="0"/>
      <w:marTop w:val="0"/>
      <w:marBottom w:val="0"/>
      <w:divBdr>
        <w:top w:val="none" w:sz="0" w:space="0" w:color="auto"/>
        <w:left w:val="none" w:sz="0" w:space="0" w:color="auto"/>
        <w:bottom w:val="none" w:sz="0" w:space="0" w:color="auto"/>
        <w:right w:val="none" w:sz="0" w:space="0" w:color="auto"/>
      </w:divBdr>
    </w:div>
    <w:div w:id="1628396117">
      <w:bodyDiv w:val="1"/>
      <w:marLeft w:val="0"/>
      <w:marRight w:val="0"/>
      <w:marTop w:val="0"/>
      <w:marBottom w:val="0"/>
      <w:divBdr>
        <w:top w:val="none" w:sz="0" w:space="0" w:color="auto"/>
        <w:left w:val="none" w:sz="0" w:space="0" w:color="auto"/>
        <w:bottom w:val="none" w:sz="0" w:space="0" w:color="auto"/>
        <w:right w:val="none" w:sz="0" w:space="0" w:color="auto"/>
      </w:divBdr>
    </w:div>
    <w:div w:id="1985962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6923D-C974-A84D-B0CC-A531DF58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9</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10</cp:revision>
  <dcterms:created xsi:type="dcterms:W3CDTF">2024-06-02T02:30:00Z</dcterms:created>
  <dcterms:modified xsi:type="dcterms:W3CDTF">2024-06-27T23:08:00Z</dcterms:modified>
</cp:coreProperties>
</file>