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F235" w14:textId="0EAE9A5A" w:rsidR="00F64485" w:rsidRPr="000A47C3" w:rsidRDefault="00E1642C">
      <w:pPr>
        <w:spacing w:before="120" w:after="120"/>
        <w:jc w:val="center"/>
        <w:rPr>
          <w:lang w:val="pt-BR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312F4C04" wp14:editId="35B227D3">
            <wp:simplePos x="0" y="0"/>
            <wp:positionH relativeFrom="page">
              <wp:posOffset>0</wp:posOffset>
            </wp:positionH>
            <wp:positionV relativeFrom="paragraph">
              <wp:posOffset>-4011</wp:posOffset>
            </wp:positionV>
            <wp:extent cx="7562850" cy="2268855"/>
            <wp:effectExtent l="0" t="0" r="0" b="0"/>
            <wp:wrapTopAndBottom/>
            <wp:docPr id="645559714" name="Drawing 0" descr="ba1547cfcce94e74161ab8ae2085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a1547cfcce94e74161ab8ae2085e079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C2F4" w14:textId="4ACD720C" w:rsidR="00F64485" w:rsidRPr="000A47C3" w:rsidRDefault="000A47C3">
      <w:pPr>
        <w:spacing w:before="120" w:after="120" w:line="336" w:lineRule="auto"/>
        <w:rPr>
          <w:rFonts w:ascii="Bodoni 72 Book" w:hAnsi="Bodoni 72 Book"/>
          <w:lang w:val="pt-BR"/>
        </w:rPr>
      </w:pPr>
      <w:r w:rsidRPr="000A47C3">
        <w:rPr>
          <w:rFonts w:ascii="Bodoni 72 Book" w:eastAsia="Prata" w:hAnsi="Bodoni 72 Book" w:cs="Prata"/>
          <w:color w:val="573B46"/>
          <w:sz w:val="64"/>
          <w:szCs w:val="64"/>
          <w:lang w:val="pt-BR"/>
        </w:rPr>
        <w:t xml:space="preserve">Considerações principais </w:t>
      </w:r>
    </w:p>
    <w:p w14:paraId="7761F376" w14:textId="77777777" w:rsidR="00F64485" w:rsidRPr="000A47C3" w:rsidRDefault="00F64485">
      <w:pPr>
        <w:pBdr>
          <w:bottom w:val="single" w:sz="6" w:space="0" w:color="573B46"/>
        </w:pBdr>
        <w:spacing w:before="120" w:after="120" w:line="0" w:lineRule="auto"/>
        <w:rPr>
          <w:lang w:val="pt-BR"/>
        </w:rPr>
      </w:pPr>
    </w:p>
    <w:p w14:paraId="03C5FA7F" w14:textId="7F312E01" w:rsidR="00F64485" w:rsidRPr="000A47C3" w:rsidRDefault="00496BCF" w:rsidP="005A729A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 salvaguarda REDD+ ‘b’ da CQNUMC refere-se a estruturas de governança eficazes, que geralmente incluem acesso a um plano ou sistema de distribuição de receitas REDD+ justo, especialmente para povos indígenas e comunidades locais. Para demonstrar conformidade com este elemento d</w:t>
      </w:r>
      <w:r w:rsidR="002578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e </w:t>
      </w:r>
      <w:r w:rsidRPr="00496BCF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salvaguarda, espera-se que os programas REDD+ Jurisdicionais (J-REDD+) tenham em vigor um plano ou sistema de distribuição de receitas REDD+. Esses planos ou sistemas devem estar alinhados com os padrões internacionais e as melhores práticas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.</w:t>
      </w:r>
    </w:p>
    <w:p w14:paraId="5D277A94" w14:textId="06F79A10" w:rsidR="00F64485" w:rsidRDefault="00496BCF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496BCF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De acordo com as melhores práticas internacionais, um plano ou sistema de distribuição de receitas deve ser baseado em vários princípios, incluindo:</w:t>
      </w:r>
      <w:r w:rsidR="00AF20E2" w:rsidRPr="000A47C3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1"/>
      </w:r>
      <w:r w:rsidR="005A729A" w:rsidRPr="000A47C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,</w:t>
      </w:r>
      <w:r w:rsidR="005A729A" w:rsidRPr="000A47C3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2"/>
      </w:r>
      <w:r w:rsidR="005A729A" w:rsidRPr="000A47C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,</w:t>
      </w:r>
      <w:r w:rsidR="005A729A" w:rsidRPr="000A47C3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3"/>
      </w:r>
      <w:r w:rsidRPr="000A47C3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: </w:t>
      </w:r>
    </w:p>
    <w:p w14:paraId="28273094" w14:textId="4DFA5A51" w:rsidR="00496BCF" w:rsidRDefault="00496BCF" w:rsidP="00496BCF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Participação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– não apenas para os beneficiários na definição da forma dos incentivos, mas também </w:t>
      </w:r>
      <w:r w:rsidR="002578EA">
        <w:rPr>
          <w:rFonts w:ascii="Avenir Next" w:hAnsi="Avenir Next"/>
          <w:sz w:val="20"/>
          <w:szCs w:val="20"/>
          <w:lang w:val="pt-BR"/>
        </w:rPr>
        <w:t>para incluir outras partes interessadas de maneira mais ampla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no desenho, implementação e avaliação d</w:t>
      </w:r>
      <w:r w:rsidR="002578EA">
        <w:rPr>
          <w:rFonts w:ascii="Avenir Next" w:hAnsi="Avenir Next"/>
          <w:sz w:val="20"/>
          <w:szCs w:val="20"/>
          <w:lang w:val="pt-BR"/>
        </w:rPr>
        <w:t>i</w:t>
      </w:r>
      <w:r w:rsidRPr="00496BCF">
        <w:rPr>
          <w:rFonts w:ascii="Avenir Next" w:hAnsi="Avenir Next"/>
          <w:sz w:val="20"/>
          <w:szCs w:val="20"/>
          <w:lang w:val="pt-BR"/>
        </w:rPr>
        <w:t>a distribuição de receitas e nos processos de governança e tomada de decisão;</w:t>
      </w:r>
    </w:p>
    <w:p w14:paraId="70D31F61" w14:textId="1A4FF64E" w:rsidR="00496BCF" w:rsidRDefault="00496BCF" w:rsidP="00496BCF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Transparência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– </w:t>
      </w:r>
      <w:r w:rsidR="002578EA">
        <w:rPr>
          <w:rFonts w:ascii="Avenir Next" w:hAnsi="Avenir Next"/>
          <w:sz w:val="20"/>
          <w:szCs w:val="20"/>
          <w:lang w:val="pt-BR"/>
        </w:rPr>
        <w:t>informação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transparente sobre elegibilidade e </w:t>
      </w:r>
      <w:r w:rsidR="002578EA">
        <w:rPr>
          <w:rFonts w:ascii="Avenir Next" w:hAnsi="Avenir Next"/>
          <w:sz w:val="20"/>
          <w:szCs w:val="20"/>
          <w:lang w:val="pt-BR"/>
        </w:rPr>
        <w:t xml:space="preserve">as 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condições para receber incentivos, os recursos financeiros recebidos e distribuídos, custos de implementação e </w:t>
      </w:r>
      <w:r w:rsidRPr="00496BCF">
        <w:rPr>
          <w:rFonts w:ascii="Avenir Next" w:hAnsi="Avenir Next"/>
          <w:sz w:val="20"/>
          <w:szCs w:val="20"/>
          <w:lang w:val="pt-BR"/>
        </w:rPr>
        <w:lastRenderedPageBreak/>
        <w:t xml:space="preserve">como as decisões são tomadas e implementadas, </w:t>
      </w:r>
      <w:r w:rsidR="002578EA">
        <w:rPr>
          <w:rFonts w:ascii="Avenir Next" w:hAnsi="Avenir Next"/>
          <w:sz w:val="20"/>
          <w:szCs w:val="20"/>
          <w:lang w:val="pt-BR"/>
        </w:rPr>
        <w:t xml:space="preserve">o que proporciona </w:t>
      </w:r>
      <w:r w:rsidRPr="00496BCF">
        <w:rPr>
          <w:rFonts w:ascii="Avenir Next" w:hAnsi="Avenir Next"/>
          <w:sz w:val="20"/>
          <w:szCs w:val="20"/>
          <w:lang w:val="pt-BR"/>
        </w:rPr>
        <w:t>uma base para construir confiança, apoio, acordo e legitimidade;</w:t>
      </w:r>
    </w:p>
    <w:p w14:paraId="78FE8AC0" w14:textId="77777777" w:rsidR="00496BCF" w:rsidRDefault="00496BCF" w:rsidP="00496BCF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Prestação de contas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– através de mecanismos de supervisão eficazes e transparentes que garantam que a distribuição de receitas seja governada e implementada conforme acordado;</w:t>
      </w:r>
    </w:p>
    <w:p w14:paraId="0CAE1564" w14:textId="6E1344C1" w:rsidR="00496BCF" w:rsidRDefault="00496BCF" w:rsidP="00496BCF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Equidade e inclusão –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no desenho e implementação da distribuição de receitas de maneira justa, imparcial e inclusiva, garantindo a não discriminação em relação a mulheres e </w:t>
      </w:r>
      <w:r w:rsidR="002578EA">
        <w:rPr>
          <w:rFonts w:ascii="Avenir Next" w:hAnsi="Avenir Next"/>
          <w:sz w:val="20"/>
          <w:szCs w:val="20"/>
          <w:lang w:val="pt-BR"/>
        </w:rPr>
        <w:t xml:space="preserve">aos </w:t>
      </w:r>
      <w:r w:rsidRPr="00496BCF">
        <w:rPr>
          <w:rFonts w:ascii="Avenir Next" w:hAnsi="Avenir Next"/>
          <w:sz w:val="20"/>
          <w:szCs w:val="20"/>
          <w:lang w:val="pt-BR"/>
        </w:rPr>
        <w:t>indivíduos e grupos vulneráveis e/ou marginalizados; e</w:t>
      </w:r>
    </w:p>
    <w:p w14:paraId="524BBD94" w14:textId="64C8F6B9" w:rsidR="00496BCF" w:rsidRPr="00496BCF" w:rsidRDefault="00496BCF" w:rsidP="00496BCF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Eficácia e eficiência –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em alcançar os objetivos acordados para a repartição de benefícios, garantindo que os benefícios cheguem aos beneficiários de maneira oportuna, minimizando os custos.</w:t>
      </w:r>
    </w:p>
    <w:p w14:paraId="3EB4B434" w14:textId="65B3279D" w:rsidR="00496BCF" w:rsidRPr="00496BCF" w:rsidRDefault="00496BCF" w:rsidP="00496BCF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sz w:val="20"/>
          <w:szCs w:val="20"/>
          <w:lang w:val="pt-BR"/>
        </w:rPr>
        <w:t>Além disso, de acordo com as melhores práticas internacionais</w:t>
      </w:r>
      <w:r w:rsidR="00007AED">
        <w:rPr>
          <w:rStyle w:val="FootnoteReference"/>
          <w:rFonts w:ascii="Avenir Next" w:hAnsi="Avenir Next"/>
          <w:sz w:val="20"/>
          <w:szCs w:val="20"/>
          <w:lang w:val="pt-BR"/>
        </w:rPr>
        <w:footnoteReference w:id="4"/>
      </w:r>
      <w:r w:rsidRPr="00496BCF">
        <w:rPr>
          <w:rFonts w:ascii="Avenir Next" w:hAnsi="Avenir Next"/>
          <w:sz w:val="20"/>
          <w:szCs w:val="20"/>
          <w:lang w:val="pt-BR"/>
        </w:rPr>
        <w:t>, um plano ou sistema de distribuição de receitas REDD+ deve claramente englobar os seguintes elementos:</w:t>
      </w:r>
    </w:p>
    <w:p w14:paraId="7084ABA9" w14:textId="02458A20" w:rsidR="00496BCF" w:rsidRDefault="00496BCF" w:rsidP="00496BCF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Beneficiários</w:t>
      </w:r>
      <w:r w:rsidR="002578EA">
        <w:rPr>
          <w:rFonts w:ascii="Avenir Next" w:hAnsi="Avenir Next"/>
          <w:i/>
          <w:iCs/>
          <w:sz w:val="20"/>
          <w:szCs w:val="20"/>
          <w:lang w:val="pt-BR"/>
        </w:rPr>
        <w:t>.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Beneficiários são entendidos como um grupo de partes interessadas (pessoas envolvidas ou afetadas pela implementação do Programa REDD+) que receberão incentivos monetários e/ou não monetários resultantes do Programa REDD+. Os beneficiários podem incluir, </w:t>
      </w:r>
      <w:r w:rsidR="002578EA">
        <w:rPr>
          <w:rFonts w:ascii="Avenir Next" w:hAnsi="Avenir Next"/>
          <w:sz w:val="20"/>
          <w:szCs w:val="20"/>
          <w:lang w:val="pt-BR"/>
        </w:rPr>
        <w:t>entre outros,</w:t>
      </w:r>
      <w:r w:rsidR="002578EA" w:rsidRPr="00496BCF">
        <w:rPr>
          <w:rFonts w:ascii="Avenir Next" w:hAnsi="Avenir Next"/>
          <w:sz w:val="20"/>
          <w:szCs w:val="20"/>
          <w:lang w:val="pt-BR"/>
        </w:rPr>
        <w:t xml:space="preserve"> comunidades</w:t>
      </w:r>
      <w:r w:rsidRPr="00496BCF">
        <w:rPr>
          <w:rFonts w:ascii="Avenir Next" w:hAnsi="Avenir Next"/>
          <w:sz w:val="20"/>
          <w:szCs w:val="20"/>
          <w:lang w:val="pt-BR"/>
        </w:rPr>
        <w:t>, sociedade civil e setor privado, incluindo quaisquer projetos REDD+ aninhados. Governos, como Entidades do Programa e partes do ERPA, podem ser considerados beneficiários e reter uma certa quantia dos Pagamentos ERPA para cobrir seus custos de implementação e/ou gestão do Programa REDD+ ou para criar as condições habilitadoras para alcançar os resultados REDD+.</w:t>
      </w:r>
    </w:p>
    <w:p w14:paraId="26466B66" w14:textId="67BE0CF3" w:rsidR="00496BCF" w:rsidRDefault="00496BCF" w:rsidP="00496BCF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Incentivos</w:t>
      </w:r>
      <w:r w:rsidR="002578EA">
        <w:rPr>
          <w:rFonts w:ascii="Avenir Next" w:hAnsi="Avenir Next"/>
          <w:i/>
          <w:iCs/>
          <w:sz w:val="20"/>
          <w:szCs w:val="20"/>
          <w:lang w:val="pt-BR"/>
        </w:rPr>
        <w:t xml:space="preserve">. </w:t>
      </w:r>
      <w:r w:rsidRPr="00496BCF">
        <w:rPr>
          <w:rFonts w:ascii="Avenir Next" w:hAnsi="Avenir Next"/>
          <w:sz w:val="20"/>
          <w:szCs w:val="20"/>
          <w:lang w:val="pt-BR"/>
        </w:rPr>
        <w:t>O plano deve delinear os tipos de incentivos que se espera oferecer em correlação com as ações relevantes do REDD+, que incluem incentivos monetários e/ou não monetários.</w:t>
      </w:r>
      <w:r w:rsidR="00007AED">
        <w:rPr>
          <w:rStyle w:val="FootnoteReference"/>
          <w:rFonts w:ascii="Avenir Next" w:hAnsi="Avenir Next"/>
          <w:sz w:val="20"/>
          <w:szCs w:val="20"/>
          <w:lang w:val="pt-BR"/>
        </w:rPr>
        <w:footnoteReference w:id="5"/>
      </w:r>
    </w:p>
    <w:p w14:paraId="78948784" w14:textId="6F09C1B7" w:rsidR="00496BCF" w:rsidRDefault="00496BCF" w:rsidP="00496BCF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O mecanismo ou processo para a distribuição de incentivos</w:t>
      </w:r>
      <w:r w:rsidR="002578EA">
        <w:rPr>
          <w:rFonts w:ascii="Avenir Next" w:hAnsi="Avenir Next"/>
          <w:sz w:val="20"/>
          <w:szCs w:val="20"/>
          <w:lang w:val="pt-BR"/>
        </w:rPr>
        <w:t>.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O plano deve delinear a maneira como os incentivos monetários e não monetários serão compartilhados com os beneficiários, incluindo sua proporção e o mecanismo utilizado.</w:t>
      </w:r>
    </w:p>
    <w:p w14:paraId="35AB7938" w14:textId="554F666F" w:rsidR="00496BCF" w:rsidRDefault="00496BCF" w:rsidP="00496BCF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Os arranjos institucionais necessários</w:t>
      </w:r>
      <w:r w:rsidR="002578EA">
        <w:rPr>
          <w:rFonts w:ascii="Avenir Next" w:hAnsi="Avenir Next"/>
          <w:i/>
          <w:iCs/>
          <w:sz w:val="20"/>
          <w:szCs w:val="20"/>
          <w:lang w:val="pt-BR"/>
        </w:rPr>
        <w:t>.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O plano deve especificar as instituições responsáveis pelo plano ou sistema de distribuição de receitas.</w:t>
      </w:r>
    </w:p>
    <w:p w14:paraId="73613ECB" w14:textId="08D35F10" w:rsidR="00496BCF" w:rsidRPr="00496BCF" w:rsidRDefault="00496BCF" w:rsidP="00496BCF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i/>
          <w:iCs/>
          <w:sz w:val="20"/>
          <w:szCs w:val="20"/>
          <w:lang w:val="pt-BR"/>
        </w:rPr>
        <w:t>As disposições de monitoramento</w:t>
      </w:r>
      <w:r w:rsidR="002578EA">
        <w:rPr>
          <w:rFonts w:ascii="Avenir Next" w:hAnsi="Avenir Next"/>
          <w:sz w:val="20"/>
          <w:szCs w:val="20"/>
          <w:lang w:val="pt-BR"/>
        </w:rPr>
        <w:t>.</w:t>
      </w:r>
      <w:r w:rsidRPr="00496BCF">
        <w:rPr>
          <w:rFonts w:ascii="Avenir Next" w:hAnsi="Avenir Next"/>
          <w:sz w:val="20"/>
          <w:szCs w:val="20"/>
          <w:lang w:val="pt-BR"/>
        </w:rPr>
        <w:t xml:space="preserve"> Finalmente, o plano ou sistema de distribuição de receitas deve descrever as disposições de monitoramento para garantir sua correta implementação.</w:t>
      </w:r>
    </w:p>
    <w:p w14:paraId="74B2EB6D" w14:textId="77777777" w:rsidR="00496BCF" w:rsidRPr="00496BCF" w:rsidRDefault="00496BCF" w:rsidP="00496BCF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sz w:val="20"/>
          <w:szCs w:val="20"/>
          <w:lang w:val="pt-BR"/>
        </w:rPr>
        <w:t>Portanto, esta ferramenta tem como objetivo ajudar os programas J-REDD+ a entender melhor:</w:t>
      </w:r>
    </w:p>
    <w:p w14:paraId="0EFEB434" w14:textId="77777777" w:rsidR="00496BCF" w:rsidRPr="00496BCF" w:rsidRDefault="00496BCF" w:rsidP="00496BCF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08A3DADB" w14:textId="273935BD" w:rsidR="00496BCF" w:rsidRDefault="00496BCF" w:rsidP="00496BCF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sz w:val="20"/>
          <w:szCs w:val="20"/>
          <w:lang w:val="pt-BR"/>
        </w:rPr>
        <w:t>O nível de alinhamento de seu plano ou sistema de distribuição de receitas REDD+ com as melhores práticas internacionais;</w:t>
      </w:r>
    </w:p>
    <w:p w14:paraId="71BC2DAB" w14:textId="47685579" w:rsidR="00496BCF" w:rsidRPr="00496BCF" w:rsidRDefault="00496BCF" w:rsidP="00496BCF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496BCF">
        <w:rPr>
          <w:rFonts w:ascii="Avenir Next" w:hAnsi="Avenir Next"/>
          <w:sz w:val="20"/>
          <w:szCs w:val="20"/>
          <w:lang w:val="pt-BR"/>
        </w:rPr>
        <w:t>Identificar quaisquer lacunas, fraquezas e/ou possíveis inconsistências nesses arranjos e identificar recomendações para abordá-las.</w:t>
      </w:r>
    </w:p>
    <w:p w14:paraId="63221F6F" w14:textId="1B410675" w:rsidR="00F64485" w:rsidRPr="000A47C3" w:rsidRDefault="009E1107">
      <w:pPr>
        <w:spacing w:before="120" w:after="120" w:line="336" w:lineRule="auto"/>
        <w:rPr>
          <w:rFonts w:ascii="Bodoni 72 Book" w:hAnsi="Bodoni 72 Book"/>
          <w:lang w:val="pt-BR"/>
        </w:rPr>
      </w:pPr>
      <w:r w:rsidRPr="000A47C3">
        <w:rPr>
          <w:rFonts w:ascii="Bodoni 72 Book" w:eastAsia="Prata" w:hAnsi="Bodoni 72 Book" w:cs="Prata"/>
          <w:color w:val="573B46"/>
          <w:sz w:val="64"/>
          <w:szCs w:val="64"/>
          <w:lang w:val="pt-BR"/>
        </w:rPr>
        <w:t>Como</w:t>
      </w:r>
      <w:r w:rsidR="00AF20E2" w:rsidRPr="000A47C3">
        <w:rPr>
          <w:rFonts w:ascii="Bodoni 72 Book" w:eastAsia="Prata" w:hAnsi="Bodoni 72 Book" w:cs="Prata"/>
          <w:color w:val="573B46"/>
          <w:sz w:val="64"/>
          <w:szCs w:val="64"/>
          <w:lang w:val="pt-BR"/>
        </w:rPr>
        <w:t xml:space="preserve"> utilizar esta </w:t>
      </w:r>
      <w:r>
        <w:rPr>
          <w:rFonts w:ascii="Bodoni 72 Book" w:eastAsia="Prata" w:hAnsi="Bodoni 72 Book" w:cs="Prata"/>
          <w:color w:val="573B46"/>
          <w:sz w:val="64"/>
          <w:szCs w:val="64"/>
          <w:lang w:val="pt-BR"/>
        </w:rPr>
        <w:t>ferramenta</w:t>
      </w:r>
      <w:r w:rsidR="00AF20E2" w:rsidRPr="000A47C3">
        <w:rPr>
          <w:rFonts w:ascii="Bodoni 72 Book" w:eastAsia="Prata" w:hAnsi="Bodoni 72 Book" w:cs="Prata"/>
          <w:color w:val="573B46"/>
          <w:sz w:val="64"/>
          <w:szCs w:val="64"/>
          <w:lang w:val="pt-BR"/>
        </w:rPr>
        <w:t xml:space="preserve">?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F64485" w:rsidRPr="000A47C3" w14:paraId="29530511" w14:textId="77777777">
        <w:tc>
          <w:tcPr>
            <w:tcW w:w="9030" w:type="dxa"/>
            <w:shd w:val="clear" w:color="auto" w:fill="573B4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A1DDE5B" w14:textId="4BF4A754" w:rsidR="009E1107" w:rsidRPr="009E1107" w:rsidRDefault="009E1107" w:rsidP="009E1107">
            <w:pPr>
              <w:spacing w:before="120" w:after="120" w:line="336" w:lineRule="auto"/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</w:pPr>
            <w:r w:rsidRPr="009E1107"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  <w:t>Esta ferramenta se divide em duas partes:</w:t>
            </w:r>
          </w:p>
          <w:p w14:paraId="56E818DB" w14:textId="496DA48A" w:rsidR="009E1107" w:rsidRPr="009E1107" w:rsidRDefault="009E1107" w:rsidP="009E1107">
            <w:pPr>
              <w:pStyle w:val="ListParagraph"/>
              <w:numPr>
                <w:ilvl w:val="0"/>
                <w:numId w:val="13"/>
              </w:numPr>
              <w:spacing w:before="120" w:after="120" w:line="336" w:lineRule="auto"/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</w:pPr>
            <w:r w:rsidRPr="009E1107">
              <w:rPr>
                <w:rFonts w:ascii="Avenir Next" w:eastAsia="IBM Plex Sans" w:hAnsi="Avenir Next" w:cs="IBM Plex Sans"/>
                <w:b/>
                <w:bCs/>
                <w:color w:val="FFFFFF" w:themeColor="background1"/>
                <w:sz w:val="20"/>
                <w:szCs w:val="20"/>
                <w:lang w:val="pt-BR"/>
              </w:rPr>
              <w:t>Parte A:</w:t>
            </w:r>
            <w:r w:rsidRPr="009E1107"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  <w:t xml:space="preserve">  </w:t>
            </w:r>
            <w:r w:rsidRPr="009E1107"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  <w:t xml:space="preserve">apresenta um questionário que orienta os usuários na avaliação qualitativa técnica do plano ou sistema de distribuição de receitas REDD+; e </w:t>
            </w:r>
          </w:p>
          <w:p w14:paraId="727C659C" w14:textId="210E748F" w:rsidR="009E1107" w:rsidRPr="000A47C3" w:rsidRDefault="009E1107" w:rsidP="009E1107">
            <w:pPr>
              <w:pStyle w:val="ListParagraph"/>
              <w:numPr>
                <w:ilvl w:val="0"/>
                <w:numId w:val="13"/>
              </w:numPr>
              <w:spacing w:before="120" w:after="120" w:line="336" w:lineRule="auto"/>
              <w:rPr>
                <w:rFonts w:ascii="IBM Plex Sans" w:eastAsia="IBM Plex Sans" w:hAnsi="IBM Plex Sans" w:cs="IBM Plex Sans"/>
                <w:color w:val="FFFFFF"/>
                <w:sz w:val="22"/>
                <w:szCs w:val="22"/>
                <w:lang w:val="pt-BR"/>
              </w:rPr>
            </w:pPr>
            <w:r w:rsidRPr="009E1107">
              <w:rPr>
                <w:rFonts w:ascii="Avenir Next" w:eastAsia="IBM Plex Sans" w:hAnsi="Avenir Next" w:cs="IBM Plex Sans"/>
                <w:b/>
                <w:bCs/>
                <w:color w:val="FFFFFF" w:themeColor="background1"/>
                <w:sz w:val="20"/>
                <w:szCs w:val="20"/>
                <w:lang w:val="pt-BR"/>
              </w:rPr>
              <w:t>Parte B:</w:t>
            </w:r>
            <w:r w:rsidRPr="009E1107">
              <w:rPr>
                <w:rFonts w:ascii="Avenir Next" w:eastAsia="IBM Plex Sans" w:hAnsi="Avenir Next" w:cs="IBM Plex Sans"/>
                <w:color w:val="FFFFFF" w:themeColor="background1"/>
                <w:sz w:val="20"/>
                <w:szCs w:val="20"/>
                <w:lang w:val="pt-BR"/>
              </w:rPr>
              <w:t xml:space="preserve"> </w:t>
            </w:r>
            <w:r w:rsidRPr="009E1107">
              <w:rPr>
                <w:rFonts w:ascii="Avenir Next" w:hAnsi="Avenir Next"/>
                <w:color w:val="FFFFFF" w:themeColor="background1"/>
                <w:sz w:val="20"/>
                <w:szCs w:val="20"/>
                <w:lang w:val="pt-BR"/>
              </w:rPr>
              <w:t>apresenta um modelo de relatório que deve ser preenchido com base nos resultados da Parte 'A' e informará o desenvolvimento do roteiro J-REDD+ (Ferramenta 8).</w:t>
            </w:r>
          </w:p>
        </w:tc>
      </w:tr>
    </w:tbl>
    <w:p w14:paraId="7871704B" w14:textId="77777777" w:rsidR="00AF20E2" w:rsidRPr="000A47C3" w:rsidRDefault="00AF20E2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</w:pPr>
    </w:p>
    <w:p w14:paraId="017ACAB7" w14:textId="77777777" w:rsidR="00AF20E2" w:rsidRPr="000A47C3" w:rsidRDefault="00AF20E2" w:rsidP="00AF20E2">
      <w:pPr>
        <w:spacing w:before="120" w:after="120" w:line="336" w:lineRule="auto"/>
        <w:rPr>
          <w:rFonts w:ascii="Bodoni 72 Book" w:eastAsia="Montserrat" w:hAnsi="Bodoni 72 Book" w:cs="Montserrat"/>
          <w:color w:val="AFAAC2"/>
          <w:sz w:val="64"/>
          <w:szCs w:val="64"/>
          <w:lang w:val="pt-BR"/>
        </w:rPr>
      </w:pPr>
    </w:p>
    <w:p w14:paraId="74707F99" w14:textId="77777777" w:rsidR="00AF20E2" w:rsidRPr="000A47C3" w:rsidRDefault="00AF20E2" w:rsidP="00AF20E2">
      <w:pPr>
        <w:spacing w:before="120" w:after="120" w:line="336" w:lineRule="auto"/>
        <w:rPr>
          <w:rFonts w:ascii="Bodoni 72 Book" w:eastAsia="Montserrat" w:hAnsi="Bodoni 72 Book" w:cs="Montserrat"/>
          <w:color w:val="AFAAC2"/>
          <w:sz w:val="64"/>
          <w:szCs w:val="64"/>
          <w:lang w:val="pt-BR"/>
        </w:rPr>
      </w:pPr>
    </w:p>
    <w:p w14:paraId="031BB335" w14:textId="77777777" w:rsidR="00AF20E2" w:rsidRPr="000A47C3" w:rsidRDefault="00AF20E2" w:rsidP="00AF20E2">
      <w:pPr>
        <w:spacing w:before="120" w:after="120" w:line="336" w:lineRule="auto"/>
        <w:rPr>
          <w:rFonts w:ascii="Bodoni 72 Book" w:eastAsia="Montserrat" w:hAnsi="Bodoni 72 Book" w:cs="Montserrat"/>
          <w:color w:val="AFAAC2"/>
          <w:sz w:val="64"/>
          <w:szCs w:val="64"/>
          <w:lang w:val="pt-BR"/>
        </w:rPr>
      </w:pPr>
    </w:p>
    <w:p w14:paraId="20AD507B" w14:textId="65B98534" w:rsidR="00496BCF" w:rsidRPr="000A47C3" w:rsidRDefault="00496BCF" w:rsidP="00AF20E2">
      <w:pPr>
        <w:spacing w:before="120" w:after="120" w:line="336" w:lineRule="auto"/>
        <w:rPr>
          <w:rFonts w:ascii="Bodoni 72 Book" w:eastAsia="Montserrat" w:hAnsi="Bodoni 72 Book" w:cs="Montserrat"/>
          <w:color w:val="AFAAC2"/>
          <w:sz w:val="64"/>
          <w:szCs w:val="64"/>
          <w:lang w:val="pt-BR"/>
        </w:rPr>
      </w:pPr>
    </w:p>
    <w:p w14:paraId="56B36DDB" w14:textId="77777777" w:rsidR="00AF20E2" w:rsidRPr="000A47C3" w:rsidRDefault="00AF20E2" w:rsidP="00AF20E2">
      <w:pPr>
        <w:spacing w:before="120" w:after="120" w:line="336" w:lineRule="auto"/>
        <w:rPr>
          <w:rFonts w:ascii="Bodoni 72 Book" w:eastAsia="Montserrat" w:hAnsi="Bodoni 72 Book" w:cs="Montserrat"/>
          <w:color w:val="AFAAC2"/>
          <w:sz w:val="64"/>
          <w:szCs w:val="64"/>
          <w:lang w:val="pt-BR"/>
        </w:rPr>
      </w:pPr>
    </w:p>
    <w:p w14:paraId="6C3390A6" w14:textId="52ACC6C8" w:rsidR="00AF20E2" w:rsidRPr="000A47C3" w:rsidRDefault="009E1107" w:rsidP="00AF20E2">
      <w:pPr>
        <w:spacing w:before="120" w:after="120" w:line="336" w:lineRule="auto"/>
        <w:rPr>
          <w:rFonts w:ascii="Bodoni 72 Book" w:eastAsia="Montserrat" w:hAnsi="Bodoni 72 Book" w:cs="Montserrat"/>
          <w:color w:val="573B46"/>
          <w:sz w:val="64"/>
          <w:szCs w:val="64"/>
          <w:lang w:val="pt-BR"/>
        </w:rPr>
      </w:pPr>
      <w:r>
        <w:rPr>
          <w:rFonts w:ascii="Bodoni 72 Book" w:eastAsia="Montserrat" w:hAnsi="Bodoni 72 Book" w:cs="Montserrat"/>
          <w:color w:val="573B46"/>
          <w:sz w:val="64"/>
          <w:szCs w:val="64"/>
          <w:lang w:val="pt-BR"/>
        </w:rPr>
        <w:lastRenderedPageBreak/>
        <w:t>Parte</w:t>
      </w:r>
      <w:r w:rsidR="00AF20E2" w:rsidRPr="000A47C3">
        <w:rPr>
          <w:rFonts w:ascii="Bodoni 72 Book" w:eastAsia="Montserrat" w:hAnsi="Bodoni 72 Book" w:cs="Montserrat"/>
          <w:color w:val="573B46"/>
          <w:sz w:val="64"/>
          <w:szCs w:val="64"/>
          <w:lang w:val="pt-BR"/>
        </w:rPr>
        <w:t xml:space="preserve"> A - </w:t>
      </w:r>
      <w:r w:rsidRPr="000A47C3">
        <w:rPr>
          <w:rFonts w:ascii="Bodoni 72 Book" w:eastAsia="Montserrat" w:hAnsi="Bodoni 72 Book" w:cs="Montserrat"/>
          <w:color w:val="573B46"/>
          <w:sz w:val="64"/>
          <w:szCs w:val="64"/>
          <w:lang w:val="pt-BR"/>
        </w:rPr>
        <w:t>Questionário</w:t>
      </w:r>
    </w:p>
    <w:p w14:paraId="68F05DE1" w14:textId="6D792B40" w:rsidR="009E1107" w:rsidRPr="005814EB" w:rsidRDefault="009E1107" w:rsidP="009E1107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B5235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questionário é estruturado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em diferentes categorias que correlacionam com as melhores práticas internacionais. </w:t>
      </w:r>
    </w:p>
    <w:p w14:paraId="684E7A58" w14:textId="77777777" w:rsidR="009E1107" w:rsidRPr="005814EB" w:rsidRDefault="009E1107" w:rsidP="009E1107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5814EB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Para completar este questionário, os usuários devem considerar o escopo de cada coluna da seguinte forma:</w:t>
      </w:r>
    </w:p>
    <w:p w14:paraId="25B87A9B" w14:textId="3AB27279" w:rsidR="009E1107" w:rsidRPr="00831B1E" w:rsidRDefault="009E1107" w:rsidP="009E1107">
      <w:pPr>
        <w:pStyle w:val="ListParagraph"/>
        <w:numPr>
          <w:ilvl w:val="0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Perguntas: </w:t>
      </w:r>
      <w:r w:rsidRPr="00831B1E">
        <w:rPr>
          <w:rFonts w:ascii="Avenir Next" w:hAnsi="Avenir Next"/>
          <w:color w:val="000000"/>
          <w:sz w:val="20"/>
          <w:szCs w:val="20"/>
          <w:lang w:val="pt-BR"/>
        </w:rPr>
        <w:t xml:space="preserve">apresenta perguntas orientadoras para os usuários.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Note que o uso do termo ‘equivalente’ se refere a um 'sistema de relatórios' subnacional.</w:t>
      </w:r>
    </w:p>
    <w:p w14:paraId="314450B8" w14:textId="77777777" w:rsidR="009E1107" w:rsidRPr="00831B1E" w:rsidRDefault="009E1107" w:rsidP="009E1107">
      <w:pPr>
        <w:pStyle w:val="ListParagraph"/>
        <w:numPr>
          <w:ilvl w:val="0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noProof/>
          <w:sz w:val="20"/>
          <w:szCs w:val="20"/>
          <w:lang w:val="pt-BR"/>
        </w:rPr>
        <w:drawing>
          <wp:anchor distT="0" distB="0" distL="114300" distR="114300" simplePos="0" relativeHeight="251660288" behindDoc="1" locked="0" layoutInCell="1" allowOverlap="1" wp14:anchorId="4D8F1884" wp14:editId="05AC5826">
            <wp:simplePos x="0" y="0"/>
            <wp:positionH relativeFrom="column">
              <wp:posOffset>5080000</wp:posOffset>
            </wp:positionH>
            <wp:positionV relativeFrom="paragraph">
              <wp:posOffset>244879</wp:posOffset>
            </wp:positionV>
            <wp:extent cx="335915" cy="268605"/>
            <wp:effectExtent l="0" t="0" r="0" b="0"/>
            <wp:wrapSquare wrapText="bothSides"/>
            <wp:docPr id="19" name="Drawing 1" descr="f2129134-ddea-4724-8cc3-5f6403e83a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2129134-ddea-4724-8cc3-5f6403e83add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</w:t>
      </w:r>
      <w:r w:rsidRPr="00831B1E">
        <w:rPr>
          <w:rFonts w:ascii="Avenir Next" w:hAnsi="Avenir Next"/>
          <w:color w:val="000000"/>
          <w:sz w:val="20"/>
          <w:szCs w:val="20"/>
          <w:lang w:val="pt-BR"/>
        </w:rPr>
        <w:t>ontuação: o seguinte guia de pontuação deve ser aplicado pelos usuários</w:t>
      </w:r>
    </w:p>
    <w:p w14:paraId="24D97677" w14:textId="5451E1BD" w:rsidR="009E1107" w:rsidRPr="00831B1E" w:rsidRDefault="009E1107" w:rsidP="009E1107">
      <w:pPr>
        <w:pStyle w:val="ListParagraph"/>
        <w:numPr>
          <w:ilvl w:val="1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Sim: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 plano ou sistema de distribuição de receitas REDD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incorpora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este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aspecto em conformidade com as melhores práticas.  </w:t>
      </w:r>
    </w:p>
    <w:p w14:paraId="45A281FB" w14:textId="5C7D163B" w:rsidR="009E1107" w:rsidRPr="00831B1E" w:rsidRDefault="009E1107" w:rsidP="009E1107">
      <w:pPr>
        <w:pStyle w:val="ListParagraph"/>
        <w:numPr>
          <w:ilvl w:val="1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 Parcialmente: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 plano ou sistema de distribuição de receitas REDD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+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incorpora parcialmente este aspecto em conformidade com as melhores práticas, porém existem algumas lacunas que precisam ser abordadas.</w:t>
      </w:r>
    </w:p>
    <w:p w14:paraId="0661505B" w14:textId="4D18FEEF" w:rsidR="009E1107" w:rsidRPr="00831B1E" w:rsidRDefault="009E1107" w:rsidP="009E1107">
      <w:pPr>
        <w:pStyle w:val="ListParagraph"/>
        <w:numPr>
          <w:ilvl w:val="1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b/>
          <w:bCs/>
          <w:noProof/>
          <w:lang w:val="pt-BR"/>
        </w:rPr>
        <w:drawing>
          <wp:anchor distT="0" distB="0" distL="114300" distR="114300" simplePos="0" relativeHeight="251661312" behindDoc="0" locked="0" layoutInCell="1" allowOverlap="1" wp14:anchorId="3FBE5543" wp14:editId="1D59F304">
            <wp:simplePos x="0" y="0"/>
            <wp:positionH relativeFrom="column">
              <wp:posOffset>5135418</wp:posOffset>
            </wp:positionH>
            <wp:positionV relativeFrom="paragraph">
              <wp:posOffset>226406</wp:posOffset>
            </wp:positionV>
            <wp:extent cx="322580" cy="281940"/>
            <wp:effectExtent l="0" t="0" r="0" b="0"/>
            <wp:wrapSquare wrapText="bothSides"/>
            <wp:docPr id="20" name="Drawing 2" descr="581de573-096f-4890-afa8-efcc489609f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1de573-096f-4890-afa8-efcc489609f0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Não: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 plano ou sistema de distribuição de receitas REDD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não incorpora este aspecto em conformidade com a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s 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melhores práticas, e existem lacunas notáveis que precisam ser abordadas para garantir plena conformidade. </w:t>
      </w:r>
    </w:p>
    <w:p w14:paraId="6647AEF1" w14:textId="77777777" w:rsidR="009E1107" w:rsidRPr="00831B1E" w:rsidRDefault="009E1107" w:rsidP="009E1107">
      <w:pPr>
        <w:pStyle w:val="ListParagraph"/>
        <w:numPr>
          <w:ilvl w:val="0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color w:val="000000"/>
          <w:sz w:val="20"/>
          <w:szCs w:val="20"/>
          <w:lang w:val="pt-BR"/>
        </w:rPr>
        <w:t>Constatações: uma oportunidade para os usuários oferecerem informações e/ou esclarecimentos em relação à sua pontuação.</w:t>
      </w:r>
    </w:p>
    <w:p w14:paraId="670F35C8" w14:textId="7AD64C46" w:rsidR="009E1107" w:rsidRPr="00831B1E" w:rsidRDefault="009E1107" w:rsidP="009E1107">
      <w:pPr>
        <w:pStyle w:val="ListParagraph"/>
        <w:numPr>
          <w:ilvl w:val="0"/>
          <w:numId w:val="23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sectPr w:rsidR="009E1107" w:rsidRPr="00831B1E" w:rsidSect="001F2B6D">
          <w:pgSz w:w="11910" w:h="16845"/>
          <w:pgMar w:top="1440" w:right="1440" w:bottom="1440" w:left="1440" w:header="720" w:footer="720" w:gutter="0"/>
          <w:cols w:space="720"/>
        </w:sectPr>
      </w:pPr>
      <w:r w:rsidRPr="00831B1E">
        <w:rPr>
          <w:rFonts w:ascii="Avenir Next" w:hAnsi="Avenir Next"/>
          <w:color w:val="000000"/>
          <w:sz w:val="20"/>
          <w:szCs w:val="20"/>
          <w:lang w:val="pt-BR"/>
        </w:rPr>
        <w:t>Meios de verificação: os usuários devem identificar qualquer documentação usada para apoiar sua pontuação, incluindo hiperlinks com informações adiciona</w:t>
      </w:r>
      <w:r>
        <w:rPr>
          <w:rFonts w:ascii="Avenir Next" w:hAnsi="Avenir Next"/>
          <w:color w:val="000000"/>
          <w:sz w:val="20"/>
          <w:szCs w:val="20"/>
          <w:lang w:val="pt-BR"/>
        </w:rPr>
        <w:t>is.</w:t>
      </w:r>
    </w:p>
    <w:p w14:paraId="15321BEB" w14:textId="1C2022DA" w:rsidR="009E1107" w:rsidRPr="000A47C3" w:rsidRDefault="009E1107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  <w:sectPr w:rsidR="009E1107" w:rsidRPr="000A47C3" w:rsidSect="001F2B6D">
          <w:type w:val="continuous"/>
          <w:pgSz w:w="11910" w:h="16845"/>
          <w:pgMar w:top="1440" w:right="1440" w:bottom="1440" w:left="1440" w:header="720" w:footer="720" w:gutter="0"/>
          <w:cols w:space="720"/>
        </w:sectPr>
      </w:pPr>
    </w:p>
    <w:p w14:paraId="575820A5" w14:textId="0157898A" w:rsidR="00F64485" w:rsidRPr="000A47C3" w:rsidRDefault="001F2B6D">
      <w:pPr>
        <w:spacing w:before="120" w:after="120" w:line="336" w:lineRule="auto"/>
        <w:rPr>
          <w:rFonts w:ascii="Bodoni 72 Book" w:hAnsi="Bodoni 72 Book"/>
          <w:lang w:val="pt-BR"/>
        </w:rPr>
      </w:pPr>
      <w:r w:rsidRPr="000A47C3">
        <w:rPr>
          <w:rFonts w:ascii="Bodoni 72 Book" w:eastAsia="Montserrat" w:hAnsi="Bodoni 72 Book" w:cs="Montserrat"/>
          <w:color w:val="573B46"/>
          <w:sz w:val="64"/>
          <w:szCs w:val="64"/>
          <w:lang w:val="pt-BR"/>
        </w:rPr>
        <w:lastRenderedPageBreak/>
        <w:t>Questionário</w:t>
      </w:r>
    </w:p>
    <w:p w14:paraId="6AE93547" w14:textId="77777777" w:rsidR="00F64485" w:rsidRPr="000A47C3" w:rsidRDefault="00F64485">
      <w:pPr>
        <w:pBdr>
          <w:bottom w:val="single" w:sz="6" w:space="0" w:color="573B46"/>
        </w:pBdr>
        <w:spacing w:before="120" w:after="120" w:line="0" w:lineRule="auto"/>
        <w:rPr>
          <w:lang w:val="pt-BR"/>
        </w:rPr>
      </w:pPr>
    </w:p>
    <w:tbl>
      <w:tblPr>
        <w:tblStyle w:val="TableGrid"/>
        <w:tblW w:w="14312" w:type="dxa"/>
        <w:tblBorders>
          <w:top w:val="single" w:sz="6" w:space="0" w:color="573B46"/>
          <w:left w:val="single" w:sz="6" w:space="0" w:color="573B46"/>
          <w:bottom w:val="single" w:sz="6" w:space="0" w:color="573B46"/>
          <w:right w:val="single" w:sz="6" w:space="0" w:color="573B46"/>
          <w:insideH w:val="single" w:sz="6" w:space="0" w:color="573B46"/>
          <w:insideV w:val="single" w:sz="6" w:space="0" w:color="573B46"/>
        </w:tblBorders>
        <w:tblLook w:val="04A0" w:firstRow="1" w:lastRow="0" w:firstColumn="1" w:lastColumn="0" w:noHBand="0" w:noVBand="1"/>
      </w:tblPr>
      <w:tblGrid>
        <w:gridCol w:w="4207"/>
        <w:gridCol w:w="2293"/>
        <w:gridCol w:w="4290"/>
        <w:gridCol w:w="3522"/>
      </w:tblGrid>
      <w:tr w:rsidR="00AF20E2" w:rsidRPr="00420A64" w14:paraId="145B28A6" w14:textId="77777777" w:rsidTr="00AF20E2">
        <w:trPr>
          <w:trHeight w:val="377"/>
        </w:trPr>
        <w:tc>
          <w:tcPr>
            <w:tcW w:w="14312" w:type="dxa"/>
            <w:gridSpan w:val="4"/>
            <w:shd w:val="clear" w:color="auto" w:fill="573B46"/>
            <w:vAlign w:val="center"/>
          </w:tcPr>
          <w:p w14:paraId="2F922326" w14:textId="515E8B44" w:rsidR="00AF20E2" w:rsidRPr="00420A64" w:rsidRDefault="001F2B6D" w:rsidP="00AF20E2">
            <w:pPr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</w:pP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Beneficiários</w:t>
            </w:r>
          </w:p>
        </w:tc>
      </w:tr>
      <w:tr w:rsidR="001F2B6D" w:rsidRPr="00420A64" w14:paraId="157B24C4" w14:textId="77777777" w:rsidTr="001F2B6D">
        <w:tc>
          <w:tcPr>
            <w:tcW w:w="4207" w:type="dxa"/>
            <w:shd w:val="clear" w:color="auto" w:fill="BEA5A2"/>
            <w:vAlign w:val="center"/>
          </w:tcPr>
          <w:p w14:paraId="0833127E" w14:textId="78C8D323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EA5A2"/>
            <w:vAlign w:val="center"/>
          </w:tcPr>
          <w:p w14:paraId="2A069650" w14:textId="77777777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3994BA77" w14:textId="59C14517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0" w:type="dxa"/>
            <w:shd w:val="clear" w:color="auto" w:fill="BEA5A2"/>
            <w:vAlign w:val="center"/>
          </w:tcPr>
          <w:p w14:paraId="19C22D5E" w14:textId="019E7A52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EA5A2"/>
            <w:vAlign w:val="center"/>
          </w:tcPr>
          <w:p w14:paraId="49532339" w14:textId="72220D6E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20E2" w:rsidRPr="00420A64" w14:paraId="4DEECBEA" w14:textId="77777777" w:rsidTr="001F2B6D">
        <w:tc>
          <w:tcPr>
            <w:tcW w:w="4207" w:type="dxa"/>
          </w:tcPr>
          <w:p w14:paraId="303E2BA0" w14:textId="160B5A0D" w:rsidR="00AF20E2" w:rsidRPr="00420A64" w:rsidRDefault="009D0689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define quais são as categorias de beneficiários?</w:t>
            </w:r>
          </w:p>
          <w:p w14:paraId="5C1C6A59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928AE46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38B29A62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36D96B1B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5D060271" w14:textId="77777777" w:rsidTr="001F2B6D">
        <w:tc>
          <w:tcPr>
            <w:tcW w:w="4207" w:type="dxa"/>
          </w:tcPr>
          <w:p w14:paraId="5D11B96E" w14:textId="00F06A42" w:rsidR="00AF20E2" w:rsidRPr="00420A64" w:rsidRDefault="009D0689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define os critérios/condições de elegibilidade que precisam ser atendidos/demonstrados para acessar os incentivos (por exemplo, desde demonstrar a posse da terra até demonstrar o direito de uso da terra)?</w:t>
            </w:r>
          </w:p>
          <w:p w14:paraId="0C03A09C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02352684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4C133F03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1965449D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44D34BFF" w14:textId="77777777" w:rsidTr="001F2B6D">
        <w:tc>
          <w:tcPr>
            <w:tcW w:w="4207" w:type="dxa"/>
          </w:tcPr>
          <w:p w14:paraId="4A9886DC" w14:textId="64E4E400" w:rsidR="00AF20E2" w:rsidRPr="00420A64" w:rsidRDefault="009D0689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plano ou sistema de distribuição de receitas identifica medidas </w:t>
            </w:r>
            <w:proofErr w:type="spellStart"/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possiveis</w:t>
            </w:r>
            <w:proofErr w:type="spellEnd"/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para abordar barreiras à participação?</w:t>
            </w:r>
            <w:r w:rsidR="00AF20E2" w:rsidRPr="00420A6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6"/>
            </w:r>
          </w:p>
          <w:p w14:paraId="587A8FA5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0E59218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322284CD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714D7D78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0C62633D" w14:textId="77777777" w:rsidTr="00AF20E2">
        <w:tc>
          <w:tcPr>
            <w:tcW w:w="14312" w:type="dxa"/>
            <w:gridSpan w:val="4"/>
            <w:shd w:val="clear" w:color="auto" w:fill="573B46"/>
            <w:vAlign w:val="center"/>
          </w:tcPr>
          <w:p w14:paraId="79174296" w14:textId="77777777" w:rsidR="00AF20E2" w:rsidRPr="00420A64" w:rsidRDefault="00AF20E2" w:rsidP="00AF20E2">
            <w:pPr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</w:pP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Incentivos</w:t>
            </w:r>
          </w:p>
        </w:tc>
      </w:tr>
      <w:tr w:rsidR="001F2B6D" w:rsidRPr="00420A64" w14:paraId="411E9388" w14:textId="77777777" w:rsidTr="001F2B6D">
        <w:tc>
          <w:tcPr>
            <w:tcW w:w="4207" w:type="dxa"/>
            <w:shd w:val="clear" w:color="auto" w:fill="BEA5A2"/>
            <w:vAlign w:val="center"/>
          </w:tcPr>
          <w:p w14:paraId="3585E078" w14:textId="053A8CAC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EA5A2"/>
            <w:vAlign w:val="center"/>
          </w:tcPr>
          <w:p w14:paraId="78BA35E9" w14:textId="77777777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058593D6" w14:textId="1AB336F0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0" w:type="dxa"/>
            <w:shd w:val="clear" w:color="auto" w:fill="BEA5A2"/>
            <w:vAlign w:val="center"/>
          </w:tcPr>
          <w:p w14:paraId="70852D1D" w14:textId="488046F1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EA5A2"/>
            <w:vAlign w:val="center"/>
          </w:tcPr>
          <w:p w14:paraId="4020B077" w14:textId="1B283CAD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20E2" w:rsidRPr="00420A64" w14:paraId="56622B9D" w14:textId="77777777" w:rsidTr="001F2B6D">
        <w:tc>
          <w:tcPr>
            <w:tcW w:w="4207" w:type="dxa"/>
          </w:tcPr>
          <w:p w14:paraId="4D0E9B20" w14:textId="16778324" w:rsidR="00AF20E2" w:rsidRPr="00420A64" w:rsidRDefault="009D0689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 xml:space="preserve">O plano ou sistema de distribuição de receitas define quais </w:t>
            </w:r>
            <w:proofErr w:type="spellStart"/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sao</w:t>
            </w:r>
            <w:proofErr w:type="spellEnd"/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os incentivos oferecidos (monetários e não monetários)?</w:t>
            </w:r>
            <w:r w:rsidR="00007AED">
              <w:rPr>
                <w:rStyle w:val="FootnoteReference"/>
                <w:rFonts w:ascii="Avenir Next" w:hAnsi="Avenir Next"/>
                <w:color w:val="000000"/>
                <w:sz w:val="20"/>
                <w:szCs w:val="20"/>
                <w:lang w:val="pt-BR"/>
              </w:rPr>
              <w:footnoteReference w:id="7"/>
            </w:r>
          </w:p>
          <w:p w14:paraId="446208D8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7FFA27B9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AD2DB92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463E3127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AF07916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3005D9A5" w14:textId="77777777" w:rsidTr="001F2B6D">
        <w:tc>
          <w:tcPr>
            <w:tcW w:w="4207" w:type="dxa"/>
          </w:tcPr>
          <w:p w14:paraId="0F301216" w14:textId="27B7174A" w:rsidR="00AF20E2" w:rsidRPr="00420A64" w:rsidRDefault="009D0689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descreve como os fundos seriam alocados e sua justificativa?</w:t>
            </w:r>
            <w:r w:rsidR="00007AED">
              <w:rPr>
                <w:rStyle w:val="FootnoteReference"/>
                <w:rFonts w:ascii="Avenir Next" w:hAnsi="Avenir Next"/>
                <w:color w:val="000000"/>
                <w:sz w:val="20"/>
                <w:szCs w:val="20"/>
                <w:lang w:val="pt-BR"/>
              </w:rPr>
              <w:footnoteReference w:id="8"/>
            </w:r>
          </w:p>
          <w:p w14:paraId="4232869F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2763572F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29145C40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0D23C33E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030E18EB" w14:textId="77777777" w:rsidTr="001F2B6D">
        <w:tc>
          <w:tcPr>
            <w:tcW w:w="4207" w:type="dxa"/>
          </w:tcPr>
          <w:p w14:paraId="6B7B6AA7" w14:textId="6F0C8B81" w:rsidR="00AF20E2" w:rsidRPr="00420A64" w:rsidRDefault="009D0689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Se houver diferenças nos incentivos direcionados a diferentes partes interessadas, há uma explicação clara do motivo?</w:t>
            </w:r>
          </w:p>
          <w:p w14:paraId="78B76F18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02DD13F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68C13C85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83BA3F7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4FF47B2B" w14:textId="77777777" w:rsidTr="00AF20E2">
        <w:tc>
          <w:tcPr>
            <w:tcW w:w="14312" w:type="dxa"/>
            <w:gridSpan w:val="4"/>
            <w:shd w:val="clear" w:color="auto" w:fill="573B46"/>
          </w:tcPr>
          <w:p w14:paraId="4EDEAF36" w14:textId="2D20668D" w:rsidR="00AF20E2" w:rsidRPr="00420A64" w:rsidRDefault="00AF20E2" w:rsidP="00CE0AF6">
            <w:pPr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</w:pP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Mecanismos </w:t>
            </w:r>
            <w:r w:rsidR="009D0689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para</w:t>
            </w:r>
            <w:r w:rsidR="00420A64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a</w:t>
            </w: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</w:t>
            </w:r>
            <w:r w:rsidR="00420A64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distribuição</w:t>
            </w: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de </w:t>
            </w:r>
            <w:r w:rsidR="00420A64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benefícios</w:t>
            </w: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</w:t>
            </w:r>
            <w:r w:rsidR="00420A64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e</w:t>
            </w: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</w:t>
            </w:r>
            <w:r w:rsidR="00420A64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arquitetura</w:t>
            </w: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institucional</w:t>
            </w:r>
          </w:p>
        </w:tc>
      </w:tr>
      <w:tr w:rsidR="001F2B6D" w:rsidRPr="00420A64" w14:paraId="67B130CB" w14:textId="77777777" w:rsidTr="001F2B6D">
        <w:tc>
          <w:tcPr>
            <w:tcW w:w="4207" w:type="dxa"/>
            <w:shd w:val="clear" w:color="auto" w:fill="BEA5A2"/>
            <w:vAlign w:val="center"/>
          </w:tcPr>
          <w:p w14:paraId="7125F536" w14:textId="425D60E2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EA5A2"/>
            <w:vAlign w:val="center"/>
          </w:tcPr>
          <w:p w14:paraId="12BDCA2B" w14:textId="77777777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3B585D2D" w14:textId="16019B1B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0" w:type="dxa"/>
            <w:shd w:val="clear" w:color="auto" w:fill="BEA5A2"/>
            <w:vAlign w:val="center"/>
          </w:tcPr>
          <w:p w14:paraId="47FB61B6" w14:textId="09DC8550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EA5A2"/>
            <w:vAlign w:val="center"/>
          </w:tcPr>
          <w:p w14:paraId="11E05F35" w14:textId="664F48A1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20E2" w:rsidRPr="00420A64" w14:paraId="7FA41615" w14:textId="77777777" w:rsidTr="001F2B6D">
        <w:tc>
          <w:tcPr>
            <w:tcW w:w="4207" w:type="dxa"/>
          </w:tcPr>
          <w:p w14:paraId="13A9D2F6" w14:textId="39D86AB5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 O plano ou sistema de distribuição de receitas define a arquitetura institucional para receber, gerir e desembolsar fundos?</w:t>
            </w:r>
          </w:p>
          <w:p w14:paraId="750EDA77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55E002C9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0DD7C718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29FD90AD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26123E33" w14:textId="77777777" w:rsidTr="001F2B6D">
        <w:tc>
          <w:tcPr>
            <w:tcW w:w="4207" w:type="dxa"/>
          </w:tcPr>
          <w:p w14:paraId="54F030A5" w14:textId="06EC82D4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Se a arquitetura institucional necessária ainda não estiver em vigor e funcionando, há passos </w:t>
            </w: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>estabelecidos para abordar isso?</w:t>
            </w:r>
          </w:p>
          <w:p w14:paraId="1D86FDF0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5EC8AB6A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5364E96F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615C1EB0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66B87142" w14:textId="77777777" w:rsidTr="001F2B6D">
        <w:tc>
          <w:tcPr>
            <w:tcW w:w="4207" w:type="dxa"/>
          </w:tcPr>
          <w:p w14:paraId="24E8F276" w14:textId="23CB8140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define as estruturas e processos para a entrega de benefícios/receitas?</w:t>
            </w:r>
          </w:p>
          <w:p w14:paraId="17AA5ABB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D6784CE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075EE0FB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DE9A053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140FDACC" w14:textId="77777777" w:rsidTr="001F2B6D">
        <w:tc>
          <w:tcPr>
            <w:tcW w:w="4207" w:type="dxa"/>
          </w:tcPr>
          <w:p w14:paraId="4CDDDA66" w14:textId="73AE7E38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define as estruturas e processos de tomada de decisão para receber, gerir e desembolsar fundos?</w:t>
            </w:r>
            <w:r w:rsidR="00007AED">
              <w:rPr>
                <w:rStyle w:val="FootnoteReference"/>
                <w:rFonts w:ascii="Avenir Next" w:hAnsi="Avenir Next"/>
                <w:color w:val="000000"/>
                <w:sz w:val="20"/>
                <w:szCs w:val="20"/>
                <w:lang w:val="pt-BR"/>
              </w:rPr>
              <w:footnoteReference w:id="9"/>
            </w:r>
          </w:p>
          <w:p w14:paraId="76106AB2" w14:textId="77777777" w:rsidR="00AF20E2" w:rsidRPr="00420A64" w:rsidRDefault="00AF20E2" w:rsidP="00CE0AF6">
            <w:pPr>
              <w:rPr>
                <w:rFonts w:ascii="Avenir Next" w:eastAsia="Calibri" w:hAnsi="Avenir Next" w:cs="Arial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6EDA213A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4139A3EF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B52D706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01E1F722" w14:textId="77777777" w:rsidTr="00AF20E2">
        <w:tc>
          <w:tcPr>
            <w:tcW w:w="14312" w:type="dxa"/>
            <w:gridSpan w:val="4"/>
            <w:shd w:val="clear" w:color="auto" w:fill="573B46"/>
            <w:vAlign w:val="center"/>
          </w:tcPr>
          <w:p w14:paraId="3F4980E0" w14:textId="7EFBC7D7" w:rsidR="00AF20E2" w:rsidRPr="00420A64" w:rsidRDefault="00420A64" w:rsidP="00AF20E2">
            <w:pPr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</w:pP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Monitoramento</w:t>
            </w:r>
            <w:r w:rsidR="00AF20E2"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 xml:space="preserve"> </w:t>
            </w:r>
            <w:r w:rsidRPr="00420A64">
              <w:rPr>
                <w:rFonts w:ascii="Avenir Next Ultra Light" w:hAnsi="Avenir Next Ultra Light" w:cs="Calibri"/>
                <w:b/>
                <w:bCs/>
                <w:color w:val="FFFFFF" w:themeColor="background1"/>
                <w:lang w:val="pt-BR"/>
              </w:rPr>
              <w:t>e avaliação</w:t>
            </w:r>
          </w:p>
        </w:tc>
      </w:tr>
      <w:tr w:rsidR="001F2B6D" w:rsidRPr="00420A64" w14:paraId="57FA376C" w14:textId="77777777" w:rsidTr="001F2B6D">
        <w:tc>
          <w:tcPr>
            <w:tcW w:w="4207" w:type="dxa"/>
            <w:shd w:val="clear" w:color="auto" w:fill="BEA5A2"/>
            <w:vAlign w:val="center"/>
          </w:tcPr>
          <w:p w14:paraId="54D27A17" w14:textId="72C4149E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EA5A2"/>
            <w:vAlign w:val="center"/>
          </w:tcPr>
          <w:p w14:paraId="3291E17E" w14:textId="77777777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5E14B2EA" w14:textId="21845F5D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0" w:type="dxa"/>
            <w:shd w:val="clear" w:color="auto" w:fill="BEA5A2"/>
            <w:vAlign w:val="center"/>
          </w:tcPr>
          <w:p w14:paraId="5B20B391" w14:textId="5754C3FD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EA5A2"/>
            <w:vAlign w:val="center"/>
          </w:tcPr>
          <w:p w14:paraId="1095A57C" w14:textId="2A666E86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20E2" w:rsidRPr="00420A64" w14:paraId="46588202" w14:textId="77777777" w:rsidTr="001F2B6D">
        <w:tc>
          <w:tcPr>
            <w:tcW w:w="4207" w:type="dxa"/>
          </w:tcPr>
          <w:p w14:paraId="352D1EF9" w14:textId="06D5ED8C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incorpora mecanismos para o monitoramento e avaliação de seu desempenho?</w:t>
            </w:r>
          </w:p>
          <w:p w14:paraId="1F0A1026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601A458A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6AEAA0C3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46264CAE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57F56BFF" w14:textId="77777777" w:rsidTr="001F2B6D">
        <w:tc>
          <w:tcPr>
            <w:tcW w:w="4207" w:type="dxa"/>
          </w:tcPr>
          <w:p w14:paraId="4C80558D" w14:textId="17FEA99D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As disposições de monitoramento descrevem os mecanismos para garantir sua implementação correta?</w:t>
            </w:r>
          </w:p>
          <w:p w14:paraId="725EDF5B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CAB9DCB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1ED158A1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6041D0D5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01D6D74D" w14:textId="77777777" w:rsidTr="001F2B6D">
        <w:tc>
          <w:tcPr>
            <w:tcW w:w="4207" w:type="dxa"/>
          </w:tcPr>
          <w:p w14:paraId="7D3CEFB2" w14:textId="6A0F8C6C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O plano ou sistema de distribuição de receitas identifica e fornece acesso a um mecanismo de </w:t>
            </w: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>reparação de queixas?</w:t>
            </w:r>
            <w:r w:rsidR="00AF20E2" w:rsidRPr="00420A64">
              <w:rPr>
                <w:rFonts w:ascii="Avenir Next" w:hAnsi="Avenir Next"/>
                <w:sz w:val="20"/>
                <w:szCs w:val="20"/>
                <w:lang w:val="pt-BR"/>
              </w:rPr>
              <w:t>?</w:t>
            </w:r>
          </w:p>
        </w:tc>
        <w:tc>
          <w:tcPr>
            <w:tcW w:w="2293" w:type="dxa"/>
          </w:tcPr>
          <w:p w14:paraId="25C48C9B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0052E36A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06EB0977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05C22E2F" w14:textId="77777777" w:rsidTr="00AF20E2">
        <w:tc>
          <w:tcPr>
            <w:tcW w:w="14312" w:type="dxa"/>
            <w:gridSpan w:val="4"/>
            <w:shd w:val="clear" w:color="auto" w:fill="573B46"/>
            <w:vAlign w:val="center"/>
          </w:tcPr>
          <w:p w14:paraId="2A0E6840" w14:textId="013B7B5F" w:rsidR="00AF20E2" w:rsidRPr="00420A64" w:rsidRDefault="00AF20E2" w:rsidP="00AF20E2">
            <w:pPr>
              <w:widowControl w:val="0"/>
              <w:autoSpaceDE w:val="0"/>
              <w:autoSpaceDN w:val="0"/>
              <w:spacing w:before="67"/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</w:pPr>
            <w:r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Ali</w:t>
            </w:r>
            <w:r w:rsidR="00420A64"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nhamento</w:t>
            </w:r>
            <w:r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 co</w:t>
            </w:r>
            <w:r w:rsidR="00420A64"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m</w:t>
            </w:r>
            <w:r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 </w:t>
            </w:r>
            <w:r w:rsidR="00420A64"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a</w:t>
            </w:r>
            <w:r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 </w:t>
            </w:r>
            <w:r w:rsidR="00420A64"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 xml:space="preserve">legislação </w:t>
            </w:r>
            <w:r w:rsidRPr="00420A64">
              <w:rPr>
                <w:rFonts w:ascii="Avenir Next Ultra Light" w:hAnsi="Avenir Next Ultra Light"/>
                <w:b/>
                <w:bCs/>
                <w:color w:val="FFFFFF" w:themeColor="background1"/>
                <w:lang w:val="pt-BR"/>
              </w:rPr>
              <w:t>relevante</w:t>
            </w:r>
          </w:p>
        </w:tc>
      </w:tr>
      <w:tr w:rsidR="001F2B6D" w:rsidRPr="00420A64" w14:paraId="3F2181A4" w14:textId="77777777" w:rsidTr="001F2B6D">
        <w:tc>
          <w:tcPr>
            <w:tcW w:w="4207" w:type="dxa"/>
            <w:shd w:val="clear" w:color="auto" w:fill="BEA5A2"/>
            <w:vAlign w:val="center"/>
          </w:tcPr>
          <w:p w14:paraId="057276E0" w14:textId="1087CD20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BEA5A2"/>
            <w:vAlign w:val="center"/>
          </w:tcPr>
          <w:p w14:paraId="3B8654DD" w14:textId="77777777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2D77FB31" w14:textId="2B728318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0" w:type="dxa"/>
            <w:shd w:val="clear" w:color="auto" w:fill="BEA5A2"/>
            <w:vAlign w:val="center"/>
          </w:tcPr>
          <w:p w14:paraId="6EEC60A3" w14:textId="43D019D5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2" w:type="dxa"/>
            <w:shd w:val="clear" w:color="auto" w:fill="BEA5A2"/>
            <w:vAlign w:val="center"/>
          </w:tcPr>
          <w:p w14:paraId="7D44453F" w14:textId="252AC224" w:rsidR="001F2B6D" w:rsidRPr="00420A64" w:rsidRDefault="001F2B6D" w:rsidP="001F2B6D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420A64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AF20E2" w:rsidRPr="00420A64" w14:paraId="5FA82E8B" w14:textId="77777777" w:rsidTr="001F2B6D">
        <w:tc>
          <w:tcPr>
            <w:tcW w:w="4207" w:type="dxa"/>
          </w:tcPr>
          <w:p w14:paraId="03773EE2" w14:textId="16710F5E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foi elaborado com a participação das partes interessadas?</w:t>
            </w:r>
          </w:p>
          <w:p w14:paraId="10B41076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66E846B9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77EE0876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01C78E3B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56AB7164" w14:textId="77777777" w:rsidTr="001F2B6D">
        <w:tc>
          <w:tcPr>
            <w:tcW w:w="4207" w:type="dxa"/>
          </w:tcPr>
          <w:p w14:paraId="520E84C8" w14:textId="00F5EEAD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foi elaborado em alinhamento com a legislação e regulamentação da jurisdição em relação ao respeito aos direitos dos povos indígenas e comunidades locais?</w:t>
            </w:r>
          </w:p>
          <w:p w14:paraId="1208C7EC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75EA6559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3C3F0583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58C347EF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23DEDD0C" w14:textId="77777777" w:rsidTr="001F2B6D">
        <w:trPr>
          <w:trHeight w:val="300"/>
        </w:trPr>
        <w:tc>
          <w:tcPr>
            <w:tcW w:w="4207" w:type="dxa"/>
          </w:tcPr>
          <w:p w14:paraId="0A29F3CE" w14:textId="37D304F0" w:rsidR="00AF20E2" w:rsidRPr="00420A64" w:rsidRDefault="00420A64" w:rsidP="00AF20E2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está alinhado com a legislação relevante sobre o reconhecimento e proteção dos direitos de posse de terras das partes interessadas (ênfase nos direitos dos povos indígenas e comunidades locais)?</w:t>
            </w:r>
          </w:p>
          <w:p w14:paraId="067ADD96" w14:textId="77777777" w:rsidR="00AF20E2" w:rsidRPr="00420A64" w:rsidRDefault="00AF20E2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2937C5D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5F16D074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0947D5B9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AF20E2" w:rsidRPr="00420A64" w14:paraId="133C2E01" w14:textId="77777777" w:rsidTr="001F2B6D">
        <w:tc>
          <w:tcPr>
            <w:tcW w:w="4207" w:type="dxa"/>
          </w:tcPr>
          <w:p w14:paraId="2C9209DD" w14:textId="449AB87E" w:rsidR="00AF20E2" w:rsidRPr="005C27CB" w:rsidRDefault="00420A64" w:rsidP="00CE0AF6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420A64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plano ou sistema de distribuição de receitas está alinhado com as estruturas atuais de governança florestal nacional?</w:t>
            </w:r>
            <w:r w:rsidR="00AF20E2" w:rsidRPr="00420A64">
              <w:rPr>
                <w:rStyle w:val="FootnoteReference"/>
                <w:rFonts w:ascii="Avenir Next" w:hAnsi="Avenir Next"/>
                <w:sz w:val="20"/>
                <w:szCs w:val="20"/>
                <w:lang w:val="pt-BR"/>
              </w:rPr>
              <w:footnoteReference w:id="10"/>
            </w:r>
          </w:p>
        </w:tc>
        <w:tc>
          <w:tcPr>
            <w:tcW w:w="2293" w:type="dxa"/>
          </w:tcPr>
          <w:p w14:paraId="79913195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0" w:type="dxa"/>
          </w:tcPr>
          <w:p w14:paraId="52281A36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2" w:type="dxa"/>
          </w:tcPr>
          <w:p w14:paraId="678277D6" w14:textId="77777777" w:rsidR="00AF20E2" w:rsidRPr="00420A64" w:rsidRDefault="00AF20E2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113D4656" w14:textId="77777777" w:rsidR="001A4D55" w:rsidRPr="000A47C3" w:rsidRDefault="001A4D55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3A98310C" w14:textId="77777777" w:rsidR="001A4D55" w:rsidRPr="000A47C3" w:rsidRDefault="001A4D55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  <w:sectPr w:rsidR="001A4D55" w:rsidRPr="000A47C3" w:rsidSect="00BB07B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47E5EEC5" w14:textId="3ECFADD8" w:rsidR="001A4D55" w:rsidRPr="000A47C3" w:rsidRDefault="00420A64" w:rsidP="001A4D55">
      <w:pPr>
        <w:spacing w:before="120" w:after="120" w:line="336" w:lineRule="auto"/>
        <w:rPr>
          <w:rFonts w:ascii="Bodoni 72 Book" w:eastAsia="Prata" w:hAnsi="Bodoni 72 Book" w:cs="Prata"/>
          <w:color w:val="573B46"/>
          <w:sz w:val="64"/>
          <w:szCs w:val="64"/>
          <w:lang w:val="pt-BR"/>
        </w:rPr>
      </w:pPr>
      <w:r w:rsidRPr="00420A64">
        <w:rPr>
          <w:rFonts w:ascii="Bodoni 72 Book" w:eastAsia="Prata" w:hAnsi="Bodoni 72 Book" w:cs="Prata"/>
          <w:color w:val="573B46"/>
          <w:sz w:val="64"/>
          <w:szCs w:val="64"/>
          <w:lang w:val="pt-BR"/>
        </w:rPr>
        <w:lastRenderedPageBreak/>
        <w:t>Parte B - Modelo de Relatório para a Avaliação Qualitativa</w:t>
      </w:r>
    </w:p>
    <w:p w14:paraId="79779792" w14:textId="77777777" w:rsidR="001A4D55" w:rsidRPr="000A47C3" w:rsidRDefault="001A4D55" w:rsidP="001A4D55">
      <w:pPr>
        <w:pBdr>
          <w:bottom w:val="single" w:sz="6" w:space="0" w:color="573B46"/>
        </w:pBdr>
        <w:spacing w:before="120" w:after="120" w:line="0" w:lineRule="auto"/>
        <w:rPr>
          <w:lang w:val="pt-BR"/>
        </w:rPr>
      </w:pPr>
    </w:p>
    <w:p w14:paraId="3A00B10E" w14:textId="77777777" w:rsidR="00420A64" w:rsidRDefault="00420A64" w:rsidP="00420A64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311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Para completar este modelo de relatório, os usuários (com o apoio de uma organização internacional especializada selecionada) devem considerar as respostas fornecidas na 'Parte A' acima. Ao completar este modelo, os usuários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devem</w:t>
      </w:r>
      <w:r w:rsidRPr="0083311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considerar o escopo de cada coluna da seguinte forma: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479549E4" w14:textId="71E1C91E" w:rsidR="00420A64" w:rsidRPr="005D0DB2" w:rsidRDefault="00420A64" w:rsidP="00420A64">
      <w:pPr>
        <w:pStyle w:val="ListParagraph"/>
        <w:numPr>
          <w:ilvl w:val="0"/>
          <w:numId w:val="25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5D0DB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2 (Lacunas Identificadas): para os usuários identificarem e resumirem as principais lacunas (questões de não conformidade) identificadas em correlação </w:t>
      </w:r>
      <w:r w:rsidR="00ED7858" w:rsidRPr="005D0DB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</w:t>
      </w:r>
      <w:r w:rsidR="00ED7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as melhores práticas internacionais,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5D0DB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ou seja, quando a pontuação identificada foi 'Parcialmente' ou 'Não' na 'Parte A'. </w:t>
      </w:r>
    </w:p>
    <w:p w14:paraId="5E5D6DE4" w14:textId="2C2A6405" w:rsidR="001A4D55" w:rsidRPr="00ED7858" w:rsidRDefault="00420A64" w:rsidP="00ED7858">
      <w:pPr>
        <w:pStyle w:val="ListParagraph"/>
        <w:numPr>
          <w:ilvl w:val="0"/>
          <w:numId w:val="2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311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3 (Recomendações): para os usuários identificarem ações/recomendações a serem tomadas para resolver essas principais deficiências ou lacunas.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 </w:t>
      </w:r>
    </w:p>
    <w:tbl>
      <w:tblPr>
        <w:tblStyle w:val="TableGrid"/>
        <w:tblW w:w="5034" w:type="pct"/>
        <w:tblBorders>
          <w:top w:val="single" w:sz="6" w:space="0" w:color="573B46"/>
          <w:left w:val="single" w:sz="6" w:space="0" w:color="573B46"/>
          <w:bottom w:val="single" w:sz="6" w:space="0" w:color="573B46"/>
          <w:right w:val="single" w:sz="6" w:space="0" w:color="573B46"/>
          <w:insideH w:val="single" w:sz="6" w:space="0" w:color="573B46"/>
          <w:insideV w:val="single" w:sz="6" w:space="0" w:color="573B46"/>
        </w:tblBorders>
        <w:tblLook w:val="04A0" w:firstRow="1" w:lastRow="0" w:firstColumn="1" w:lastColumn="0" w:noHBand="0" w:noVBand="1"/>
      </w:tblPr>
      <w:tblGrid>
        <w:gridCol w:w="1747"/>
        <w:gridCol w:w="6819"/>
        <w:gridCol w:w="5711"/>
      </w:tblGrid>
      <w:tr w:rsidR="00ED7858" w:rsidRPr="000A47C3" w14:paraId="34CD5E52" w14:textId="77777777" w:rsidTr="001A4D55">
        <w:trPr>
          <w:trHeight w:val="336"/>
        </w:trPr>
        <w:tc>
          <w:tcPr>
            <w:tcW w:w="612" w:type="pct"/>
            <w:shd w:val="clear" w:color="auto" w:fill="573B46"/>
            <w:vAlign w:val="center"/>
          </w:tcPr>
          <w:p w14:paraId="2EB71E45" w14:textId="678118DB" w:rsidR="00ED7858" w:rsidRPr="000A47C3" w:rsidRDefault="00ED7858" w:rsidP="00ED7858">
            <w:pPr>
              <w:jc w:val="center"/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</w:pPr>
            <w:r w:rsidRPr="000A47C3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Me</w:t>
            </w:r>
            <w:r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lhores</w:t>
            </w:r>
            <w:r w:rsidRPr="000A47C3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 xml:space="preserve"> práticas internacion</w:t>
            </w:r>
            <w:r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ais</w:t>
            </w:r>
          </w:p>
        </w:tc>
        <w:tc>
          <w:tcPr>
            <w:tcW w:w="2388" w:type="pct"/>
            <w:shd w:val="clear" w:color="auto" w:fill="573B46"/>
          </w:tcPr>
          <w:p w14:paraId="5E6F03B3" w14:textId="37CCB129" w:rsidR="00ED7858" w:rsidRPr="00ED7858" w:rsidRDefault="00ED7858" w:rsidP="00ED7858">
            <w:pPr>
              <w:jc w:val="center"/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</w:pPr>
            <w:r w:rsidRPr="00ED7858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>Lacunas identificadas</w:t>
            </w:r>
          </w:p>
        </w:tc>
        <w:tc>
          <w:tcPr>
            <w:tcW w:w="2000" w:type="pct"/>
            <w:shd w:val="clear" w:color="auto" w:fill="573B46"/>
          </w:tcPr>
          <w:p w14:paraId="63EDCC8E" w14:textId="3FAE8267" w:rsidR="00ED7858" w:rsidRPr="00ED7858" w:rsidRDefault="00ED7858" w:rsidP="00ED7858">
            <w:pPr>
              <w:jc w:val="center"/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</w:pPr>
            <w:r w:rsidRPr="00ED7858">
              <w:rPr>
                <w:rFonts w:ascii="Bodoni 72 Book" w:hAnsi="Bodoni 72 Book"/>
                <w:color w:val="FFFFFF" w:themeColor="background1"/>
                <w:sz w:val="22"/>
                <w:szCs w:val="22"/>
                <w:lang w:val="pt-BR"/>
              </w:rPr>
              <w:t xml:space="preserve">Recomendações </w:t>
            </w:r>
          </w:p>
        </w:tc>
      </w:tr>
      <w:tr w:rsidR="001A4D55" w:rsidRPr="000A47C3" w14:paraId="498BA2AD" w14:textId="77777777" w:rsidTr="001A4D55">
        <w:tc>
          <w:tcPr>
            <w:tcW w:w="612" w:type="pct"/>
            <w:shd w:val="clear" w:color="auto" w:fill="BEA5A2"/>
          </w:tcPr>
          <w:p w14:paraId="200E08FB" w14:textId="6CA33408" w:rsidR="001A4D55" w:rsidRPr="000A47C3" w:rsidRDefault="00ED7858" w:rsidP="001A4D55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Beneficiários</w:t>
            </w:r>
          </w:p>
        </w:tc>
        <w:tc>
          <w:tcPr>
            <w:tcW w:w="2388" w:type="pct"/>
          </w:tcPr>
          <w:p w14:paraId="6165D675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  <w:tc>
          <w:tcPr>
            <w:tcW w:w="2000" w:type="pct"/>
          </w:tcPr>
          <w:p w14:paraId="1AE11FBF" w14:textId="77777777" w:rsidR="001A4D55" w:rsidRPr="000A47C3" w:rsidRDefault="001A4D55" w:rsidP="001A4D55">
            <w:pPr>
              <w:rPr>
                <w:rFonts w:cs="Arial"/>
                <w:szCs w:val="22"/>
                <w:lang w:val="pt-BR"/>
              </w:rPr>
            </w:pPr>
          </w:p>
        </w:tc>
      </w:tr>
      <w:tr w:rsidR="001A4D55" w:rsidRPr="000A47C3" w14:paraId="24256F4C" w14:textId="77777777" w:rsidTr="001A4D55">
        <w:tc>
          <w:tcPr>
            <w:tcW w:w="612" w:type="pct"/>
            <w:shd w:val="clear" w:color="auto" w:fill="BEA5A2"/>
          </w:tcPr>
          <w:p w14:paraId="73677AFF" w14:textId="03A7D472" w:rsidR="001A4D55" w:rsidRPr="000A47C3" w:rsidRDefault="001A4D55" w:rsidP="001A4D55">
            <w:pPr>
              <w:rPr>
                <w:rFonts w:ascii="Avenir Next" w:hAnsi="Avenir Next" w:cs="Calibri"/>
                <w:iCs/>
                <w:color w:val="000000" w:themeColor="text1"/>
                <w:sz w:val="20"/>
                <w:szCs w:val="20"/>
                <w:lang w:val="pt-BR"/>
              </w:rPr>
            </w:pP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Incentivos</w:t>
            </w:r>
          </w:p>
        </w:tc>
        <w:tc>
          <w:tcPr>
            <w:tcW w:w="2388" w:type="pct"/>
          </w:tcPr>
          <w:p w14:paraId="6BFD1BB2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  <w:tc>
          <w:tcPr>
            <w:tcW w:w="2000" w:type="pct"/>
          </w:tcPr>
          <w:p w14:paraId="681C6396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</w:tr>
      <w:tr w:rsidR="001A4D55" w:rsidRPr="000A47C3" w14:paraId="1EC9D336" w14:textId="77777777" w:rsidTr="001A4D55">
        <w:tc>
          <w:tcPr>
            <w:tcW w:w="612" w:type="pct"/>
            <w:shd w:val="clear" w:color="auto" w:fill="BEA5A2"/>
          </w:tcPr>
          <w:p w14:paraId="19E96239" w14:textId="42CECA57" w:rsidR="001A4D55" w:rsidRPr="000A47C3" w:rsidRDefault="001A4D55" w:rsidP="001A4D55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Mecanismos de </w:t>
            </w:r>
            <w:r w:rsidR="00ED7858"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distribui</w:t>
            </w:r>
            <w:r w:rsidR="00ED7858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ção</w:t>
            </w: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 de </w:t>
            </w:r>
            <w:r w:rsidR="00ED7858"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benefícios</w:t>
            </w: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ED7858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e</w:t>
            </w: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ED7858"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arquitetura</w:t>
            </w: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 institucional</w:t>
            </w:r>
          </w:p>
        </w:tc>
        <w:tc>
          <w:tcPr>
            <w:tcW w:w="2388" w:type="pct"/>
          </w:tcPr>
          <w:p w14:paraId="612BFF21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  <w:tc>
          <w:tcPr>
            <w:tcW w:w="2000" w:type="pct"/>
          </w:tcPr>
          <w:p w14:paraId="6FE77D96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</w:tr>
      <w:tr w:rsidR="001A4D55" w:rsidRPr="000A47C3" w14:paraId="4E170C0B" w14:textId="77777777" w:rsidTr="001A4D55">
        <w:tc>
          <w:tcPr>
            <w:tcW w:w="612" w:type="pct"/>
            <w:shd w:val="clear" w:color="auto" w:fill="BEA5A2"/>
          </w:tcPr>
          <w:p w14:paraId="5E941DDB" w14:textId="1B82EC80" w:rsidR="001A4D55" w:rsidRPr="000A47C3" w:rsidRDefault="001A4D55" w:rsidP="001A4D55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Monit</w:t>
            </w:r>
            <w:r w:rsidR="00ED7858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oramento</w:t>
            </w: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ED7858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e</w:t>
            </w:r>
            <w:r w:rsidRPr="000A47C3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ED7858">
              <w:rPr>
                <w:rFonts w:ascii="Avenir Next" w:hAnsi="Avenir Next" w:cs="Calibri"/>
                <w:color w:val="000000" w:themeColor="text1"/>
                <w:sz w:val="20"/>
                <w:szCs w:val="20"/>
                <w:lang w:val="pt-BR"/>
              </w:rPr>
              <w:t>avaliação</w:t>
            </w:r>
          </w:p>
        </w:tc>
        <w:tc>
          <w:tcPr>
            <w:tcW w:w="2388" w:type="pct"/>
          </w:tcPr>
          <w:p w14:paraId="26C09D8F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  <w:tc>
          <w:tcPr>
            <w:tcW w:w="2000" w:type="pct"/>
          </w:tcPr>
          <w:p w14:paraId="46693B5C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</w:tr>
      <w:tr w:rsidR="001A4D55" w:rsidRPr="000A47C3" w14:paraId="353D58C5" w14:textId="77777777" w:rsidTr="001A4D55">
        <w:tc>
          <w:tcPr>
            <w:tcW w:w="612" w:type="pct"/>
            <w:shd w:val="clear" w:color="auto" w:fill="BEA5A2"/>
          </w:tcPr>
          <w:p w14:paraId="00A3A069" w14:textId="4AF925B8" w:rsidR="001A4D55" w:rsidRPr="000A47C3" w:rsidRDefault="00ED7858" w:rsidP="001A4D55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>
              <w:rPr>
                <w:rFonts w:ascii="Avenir Next" w:hAnsi="Avenir Next"/>
                <w:sz w:val="20"/>
                <w:szCs w:val="20"/>
                <w:lang w:val="pt-BR"/>
              </w:rPr>
              <w:t>Alinhamento</w:t>
            </w:r>
            <w:r w:rsidR="001A4D55" w:rsidRPr="000A47C3">
              <w:rPr>
                <w:rFonts w:ascii="Avenir Next" w:hAnsi="Avenir Next"/>
                <w:sz w:val="20"/>
                <w:szCs w:val="20"/>
                <w:lang w:val="pt-BR"/>
              </w:rPr>
              <w:t xml:space="preserve"> co</w:t>
            </w:r>
            <w:r>
              <w:rPr>
                <w:rFonts w:ascii="Avenir Next" w:hAnsi="Avenir Next"/>
                <w:sz w:val="20"/>
                <w:szCs w:val="20"/>
                <w:lang w:val="pt-BR"/>
              </w:rPr>
              <w:t>m</w:t>
            </w:r>
            <w:r w:rsidR="001A4D55" w:rsidRPr="000A47C3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venir Next" w:hAnsi="Avenir Next"/>
                <w:sz w:val="20"/>
                <w:szCs w:val="20"/>
                <w:lang w:val="pt-BR"/>
              </w:rPr>
              <w:t>a</w:t>
            </w:r>
            <w:r w:rsidR="001A4D55" w:rsidRPr="000A47C3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Pr="000A47C3">
              <w:rPr>
                <w:rFonts w:ascii="Avenir Next" w:hAnsi="Avenir Next"/>
                <w:sz w:val="20"/>
                <w:szCs w:val="20"/>
                <w:lang w:val="pt-BR"/>
              </w:rPr>
              <w:t>legislação</w:t>
            </w:r>
            <w:r w:rsidR="001A4D55" w:rsidRPr="000A47C3">
              <w:rPr>
                <w:rFonts w:ascii="Avenir Next" w:hAnsi="Avenir Next"/>
                <w:sz w:val="20"/>
                <w:szCs w:val="20"/>
                <w:lang w:val="pt-BR"/>
              </w:rPr>
              <w:t xml:space="preserve"> relevante</w:t>
            </w:r>
          </w:p>
        </w:tc>
        <w:tc>
          <w:tcPr>
            <w:tcW w:w="2388" w:type="pct"/>
          </w:tcPr>
          <w:p w14:paraId="5C96058E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  <w:tc>
          <w:tcPr>
            <w:tcW w:w="2000" w:type="pct"/>
          </w:tcPr>
          <w:p w14:paraId="025FEE15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</w:tr>
      <w:tr w:rsidR="001A4D55" w:rsidRPr="000A47C3" w14:paraId="509343C6" w14:textId="77777777" w:rsidTr="001A4D55">
        <w:tc>
          <w:tcPr>
            <w:tcW w:w="612" w:type="pct"/>
            <w:shd w:val="clear" w:color="auto" w:fill="BEA5A2"/>
          </w:tcPr>
          <w:p w14:paraId="5CC4BED4" w14:textId="62EFA72F" w:rsidR="001A4D55" w:rsidRPr="000A47C3" w:rsidRDefault="001A4D55" w:rsidP="001A4D55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0A47C3">
              <w:rPr>
                <w:rFonts w:ascii="Avenir Next" w:hAnsi="Avenir Next"/>
                <w:sz w:val="20"/>
                <w:szCs w:val="20"/>
                <w:lang w:val="pt-BR"/>
              </w:rPr>
              <w:t xml:space="preserve">Geral </w:t>
            </w:r>
          </w:p>
        </w:tc>
        <w:tc>
          <w:tcPr>
            <w:tcW w:w="2388" w:type="pct"/>
          </w:tcPr>
          <w:p w14:paraId="03FF0AFA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  <w:tc>
          <w:tcPr>
            <w:tcW w:w="2000" w:type="pct"/>
          </w:tcPr>
          <w:p w14:paraId="6A54C194" w14:textId="77777777" w:rsidR="001A4D55" w:rsidRPr="000A47C3" w:rsidRDefault="001A4D55" w:rsidP="001A4D55">
            <w:pPr>
              <w:rPr>
                <w:szCs w:val="22"/>
                <w:lang w:val="pt-BR"/>
              </w:rPr>
            </w:pPr>
          </w:p>
        </w:tc>
      </w:tr>
    </w:tbl>
    <w:p w14:paraId="66F6A609" w14:textId="77777777" w:rsidR="00F64485" w:rsidRPr="000A47C3" w:rsidRDefault="00000000" w:rsidP="001A4D55">
      <w:pPr>
        <w:spacing w:before="120" w:after="120" w:line="336" w:lineRule="auto"/>
        <w:rPr>
          <w:lang w:val="pt-BR"/>
        </w:rPr>
      </w:pPr>
      <w:r w:rsidRPr="000A47C3">
        <w:rPr>
          <w:rFonts w:ascii="IBM Plex Sans" w:eastAsia="IBM Plex Sans" w:hAnsi="IBM Plex Sans" w:cs="IBM Plex Sans"/>
          <w:color w:val="000000"/>
          <w:lang w:val="pt-BR"/>
        </w:rPr>
        <w:t xml:space="preserve"> </w:t>
      </w:r>
    </w:p>
    <w:sectPr w:rsidR="00F64485" w:rsidRPr="000A47C3" w:rsidSect="00BB07B2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0BA94" w14:textId="77777777" w:rsidR="0099318C" w:rsidRDefault="0099318C" w:rsidP="00AF20E2">
      <w:r>
        <w:separator/>
      </w:r>
    </w:p>
  </w:endnote>
  <w:endnote w:type="continuationSeparator" w:id="0">
    <w:p w14:paraId="10919CCA" w14:textId="77777777" w:rsidR="0099318C" w:rsidRDefault="0099318C" w:rsidP="00AF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5966A68-EDF7-454A-93E4-5D1BA9424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95E624-C31D-6B43-9937-6001037793FB}"/>
    <w:embedBold r:id="rId3" w:fontKey="{677AAF89-A86D-E447-854D-C28164F4C321}"/>
    <w:embedItalic r:id="rId4" w:fontKey="{6590B1B2-9AAA-CB4E-80EA-14241E73D8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EAB2EF0-6000-4E49-AC05-1CADF3B51D9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3027CC1-5732-4C4A-9010-BE7732D588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20704C4-2801-9342-A1BE-8677382EB308}"/>
    <w:embedBold r:id="rId8" w:fontKey="{D5145F2D-DA6E-9840-9512-3B12ECE0E916}"/>
    <w:embedItalic r:id="rId9" w:fontKey="{CF1276DB-14EC-624C-B92D-E005F5CFE5B4}"/>
  </w:font>
  <w:font w:name="Bodoni 72 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0" w:fontKey="{438FAC7C-D403-BF40-8D3D-2A93320362EE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2" w:fontKey="{586AA0DA-F244-2A47-80FA-DEA95698E9BE}"/>
    <w:embedBold r:id="rId13" w:fontKey="{B6CD678A-134E-4A47-9B32-AC74A707A7C5}"/>
    <w:embedItalic r:id="rId14" w:fontKey="{68839851-A73C-FD41-9E63-F25B50844070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5" w:fontKey="{D1DC633E-F436-D543-B3F6-716D295A5468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6" w:fontKey="{AC84409E-4012-124A-8FA9-988DFF00DA15}"/>
    <w:embedBold r:id="rId17" w:fontKey="{382EF469-63C6-FE4F-BA14-095FA701D17B}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  <w:embedBold r:id="rId18" w:fontKey="{86499B35-9835-1F4D-B583-36CF6A5B51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04123B8F-3182-0348-8543-2BE61B6C70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2BA12AC6-67AE-5E4B-B0F8-7C522E4B61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719A6" w14:textId="77777777" w:rsidR="0099318C" w:rsidRDefault="0099318C" w:rsidP="00AF20E2">
      <w:r>
        <w:separator/>
      </w:r>
    </w:p>
  </w:footnote>
  <w:footnote w:type="continuationSeparator" w:id="0">
    <w:p w14:paraId="0426625F" w14:textId="77777777" w:rsidR="0099318C" w:rsidRDefault="0099318C" w:rsidP="00AF20E2">
      <w:r>
        <w:continuationSeparator/>
      </w:r>
    </w:p>
  </w:footnote>
  <w:footnote w:id="1">
    <w:p w14:paraId="66789D03" w14:textId="77777777" w:rsidR="00007AED" w:rsidRPr="00007AED" w:rsidRDefault="00AF20E2" w:rsidP="005A729A">
      <w:pPr>
        <w:spacing w:before="120" w:after="120" w:line="336" w:lineRule="auto"/>
        <w:rPr>
          <w:rFonts w:ascii="Avenir Next" w:hAnsi="Avenir Next"/>
          <w:color w:val="000000"/>
          <w:sz w:val="14"/>
          <w:szCs w:val="14"/>
          <w:lang w:val="pt-BR"/>
        </w:rPr>
      </w:pPr>
      <w:r w:rsidRPr="00007AED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007AED">
        <w:rPr>
          <w:rFonts w:ascii="Avenir Next" w:hAnsi="Avenir Next"/>
          <w:sz w:val="14"/>
          <w:szCs w:val="14"/>
          <w:lang w:val="pt-BR"/>
        </w:rPr>
        <w:t xml:space="preserve"> </w:t>
      </w:r>
      <w:r w:rsidR="005A729A" w:rsidRPr="00007AED">
        <w:rPr>
          <w:rFonts w:ascii="Avenir Next" w:eastAsia="Montserrat" w:hAnsi="Avenir Next" w:cs="Montserrat"/>
          <w:color w:val="000000"/>
          <w:sz w:val="14"/>
          <w:szCs w:val="14"/>
          <w:lang w:val="pt-BR"/>
        </w:rPr>
        <w:t xml:space="preserve">WWF, </w:t>
      </w:r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Análise comparativa dos mecanismos de distribuição de benefícios nos programas REDD+, acessível</w:t>
      </w:r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 xml:space="preserve"> </w:t>
      </w:r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em:</w:t>
      </w:r>
    </w:p>
    <w:p w14:paraId="2AEC07B3" w14:textId="17E5D066" w:rsidR="00AF20E2" w:rsidRPr="00007AED" w:rsidRDefault="00007AED" w:rsidP="005A729A">
      <w:pPr>
        <w:spacing w:before="120" w:after="120" w:line="336" w:lineRule="auto"/>
        <w:rPr>
          <w:rFonts w:ascii="Avenir Next" w:hAnsi="Avenir Next"/>
          <w:sz w:val="14"/>
          <w:szCs w:val="14"/>
          <w:lang w:val="pt-BR"/>
        </w:rPr>
      </w:pPr>
      <w:r w:rsidRPr="00007AED">
        <w:rPr>
          <w:rStyle w:val="apple-converted-space"/>
          <w:rFonts w:ascii="Avenir Next" w:hAnsi="Avenir Next"/>
          <w:color w:val="000000"/>
          <w:sz w:val="14"/>
          <w:szCs w:val="14"/>
          <w:lang w:val="pt-BR"/>
        </w:rPr>
        <w:t> </w:t>
      </w:r>
      <w:hyperlink r:id="rId1" w:history="1">
        <w:r w:rsidR="005A729A" w:rsidRPr="00007AED">
          <w:rPr>
            <w:rStyle w:val="Hyperlink"/>
            <w:rFonts w:ascii="Avenir Next" w:hAnsi="Avenir Next"/>
            <w:i/>
            <w:iCs/>
            <w:sz w:val="14"/>
            <w:szCs w:val="14"/>
            <w:lang w:val="pt-BR"/>
          </w:rPr>
          <w:t>https://wwfint.awsassets.panda.org/downloads/wwf_assessment_report_redd__programs_v4.pdf</w:t>
        </w:r>
      </w:hyperlink>
      <w:r w:rsidR="005A729A" w:rsidRPr="00007AED">
        <w:rPr>
          <w:rFonts w:ascii="Avenir Next" w:hAnsi="Avenir Next"/>
          <w:i/>
          <w:iCs/>
          <w:sz w:val="14"/>
          <w:szCs w:val="14"/>
          <w:lang w:val="pt-BR"/>
        </w:rPr>
        <w:t xml:space="preserve">  </w:t>
      </w:r>
    </w:p>
  </w:footnote>
  <w:footnote w:id="2">
    <w:p w14:paraId="10364B9B" w14:textId="48D5CFD8" w:rsidR="00007AED" w:rsidRPr="00007AED" w:rsidRDefault="005A729A" w:rsidP="005A729A">
      <w:pPr>
        <w:spacing w:before="120" w:after="120" w:line="336" w:lineRule="auto"/>
        <w:rPr>
          <w:rFonts w:ascii="Avenir Next" w:hAnsi="Avenir Next"/>
          <w:color w:val="000000"/>
          <w:sz w:val="14"/>
          <w:szCs w:val="14"/>
          <w:lang w:val="pt-BR"/>
        </w:rPr>
      </w:pPr>
      <w:r w:rsidRPr="00007AED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007AED">
        <w:rPr>
          <w:rFonts w:ascii="Avenir Next" w:hAnsi="Avenir Next"/>
          <w:sz w:val="14"/>
          <w:szCs w:val="14"/>
          <w:lang w:val="pt-BR"/>
        </w:rPr>
        <w:t xml:space="preserve"> </w:t>
      </w:r>
      <w:r w:rsidRPr="00007AED">
        <w:rPr>
          <w:rFonts w:ascii="Avenir Next" w:eastAsia="Montserrat" w:hAnsi="Avenir Next" w:cs="Montserrat"/>
          <w:color w:val="000000"/>
          <w:sz w:val="14"/>
          <w:szCs w:val="14"/>
          <w:lang w:val="pt-BR"/>
        </w:rPr>
        <w:t xml:space="preserve">TNC, </w:t>
      </w:r>
      <w:proofErr w:type="gramStart"/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Compartilhando</w:t>
      </w:r>
      <w:proofErr w:type="gramEnd"/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 xml:space="preserve"> os benefícios de REDD+, acessível em</w:t>
      </w:r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:</w:t>
      </w:r>
    </w:p>
    <w:p w14:paraId="0AD50F5E" w14:textId="3C2C72A1" w:rsidR="005A729A" w:rsidRPr="00007AED" w:rsidRDefault="00007AED" w:rsidP="005A729A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14"/>
          <w:szCs w:val="14"/>
          <w:lang w:val="pt-BR"/>
        </w:rPr>
      </w:pPr>
      <w:r w:rsidRPr="00007AED">
        <w:rPr>
          <w:rFonts w:ascii="Avenir Next" w:hAnsi="Avenir Next"/>
          <w:color w:val="000000"/>
          <w:sz w:val="14"/>
          <w:szCs w:val="14"/>
          <w:lang w:val="pt-BR"/>
        </w:rPr>
        <w:t>:</w:t>
      </w:r>
      <w:r w:rsidRPr="00007AED">
        <w:rPr>
          <w:rStyle w:val="apple-converted-space"/>
          <w:rFonts w:ascii="Avenir Next" w:hAnsi="Avenir Next"/>
          <w:color w:val="000000"/>
          <w:sz w:val="14"/>
          <w:szCs w:val="14"/>
          <w:lang w:val="pt-BR"/>
        </w:rPr>
        <w:t> </w:t>
      </w:r>
      <w:hyperlink r:id="rId2" w:history="1">
        <w:r w:rsidR="005A729A" w:rsidRPr="00007AED">
          <w:rPr>
            <w:rStyle w:val="Hyperlink"/>
            <w:rFonts w:ascii="Avenir Next" w:eastAsia="Montserrat" w:hAnsi="Avenir Next" w:cs="Montserrat"/>
            <w:sz w:val="14"/>
            <w:szCs w:val="14"/>
            <w:lang w:val="pt-BR"/>
          </w:rPr>
          <w:t>https://www.nature.org/content/dam/tnc/nature/en/documents/tnc_benefit%20sharing_web.pdf</w:t>
        </w:r>
      </w:hyperlink>
      <w:r w:rsidR="005A729A" w:rsidRPr="00007AED">
        <w:rPr>
          <w:rFonts w:ascii="Avenir Next" w:eastAsia="Montserrat" w:hAnsi="Avenir Next" w:cs="Montserrat"/>
          <w:color w:val="000000"/>
          <w:sz w:val="14"/>
          <w:szCs w:val="14"/>
          <w:lang w:val="pt-BR"/>
        </w:rPr>
        <w:t xml:space="preserve"> </w:t>
      </w:r>
    </w:p>
  </w:footnote>
  <w:footnote w:id="3">
    <w:p w14:paraId="3DD4CD8C" w14:textId="62144AC8" w:rsidR="00007AED" w:rsidRPr="00007AED" w:rsidRDefault="005A729A" w:rsidP="005A729A">
      <w:pPr>
        <w:spacing w:before="120" w:after="120" w:line="336" w:lineRule="auto"/>
        <w:rPr>
          <w:rFonts w:ascii="Avenir Next" w:hAnsi="Avenir Next"/>
          <w:color w:val="000000"/>
          <w:sz w:val="14"/>
          <w:szCs w:val="14"/>
          <w:lang w:val="pt-BR"/>
        </w:rPr>
      </w:pPr>
      <w:r w:rsidRPr="00007AED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007AED">
        <w:rPr>
          <w:rFonts w:ascii="Avenir Next" w:hAnsi="Avenir Next"/>
          <w:sz w:val="14"/>
          <w:szCs w:val="14"/>
          <w:lang w:val="pt-BR"/>
        </w:rPr>
        <w:t xml:space="preserve"> </w:t>
      </w:r>
      <w:r w:rsidRPr="00007AED">
        <w:rPr>
          <w:rFonts w:ascii="Avenir Next" w:eastAsia="Montserrat" w:hAnsi="Avenir Next" w:cs="Montserrat"/>
          <w:color w:val="000000"/>
          <w:sz w:val="14"/>
          <w:szCs w:val="14"/>
          <w:lang w:val="pt-BR"/>
        </w:rPr>
        <w:t xml:space="preserve">CIFOR, </w:t>
      </w:r>
      <w:proofErr w:type="gramStart"/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Desenhando</w:t>
      </w:r>
      <w:proofErr w:type="gramEnd"/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 xml:space="preserve"> mecanismos de distribuição de benefícios em REDD+: da política à prática, acessível em</w:t>
      </w:r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:</w:t>
      </w:r>
    </w:p>
    <w:p w14:paraId="39A88132" w14:textId="2953022E" w:rsidR="005A729A" w:rsidRPr="005A729A" w:rsidRDefault="00007AED" w:rsidP="005A729A">
      <w:pPr>
        <w:spacing w:before="120" w:after="120" w:line="336" w:lineRule="auto"/>
        <w:rPr>
          <w:rFonts w:ascii="Avenir Next" w:hAnsi="Avenir Next"/>
          <w:sz w:val="14"/>
          <w:szCs w:val="14"/>
          <w:lang w:val="es-ES"/>
        </w:rPr>
      </w:pPr>
      <w:hyperlink r:id="rId3" w:history="1">
        <w:r w:rsidRPr="00007AED">
          <w:rPr>
            <w:rStyle w:val="Hyperlink"/>
            <w:rFonts w:ascii="Avenir Next" w:eastAsia="Montserrat" w:hAnsi="Avenir Next" w:cs="Montserrat"/>
            <w:sz w:val="14"/>
            <w:szCs w:val="14"/>
            <w:lang w:val="pt-BR"/>
          </w:rPr>
          <w:t>https://www.cifor.org/publications/pdf_files/Books/REDD-Benefit-Sharing.pdf</w:t>
        </w:r>
      </w:hyperlink>
      <w:r w:rsidR="005A729A">
        <w:rPr>
          <w:rFonts w:ascii="Avenir Next" w:eastAsia="Montserrat" w:hAnsi="Avenir Next" w:cs="Montserrat"/>
          <w:color w:val="000000"/>
          <w:sz w:val="14"/>
          <w:szCs w:val="14"/>
          <w:lang w:val="es-ES"/>
        </w:rPr>
        <w:t xml:space="preserve"> </w:t>
      </w:r>
    </w:p>
  </w:footnote>
  <w:footnote w:id="4">
    <w:p w14:paraId="25039A1D" w14:textId="6A829B9A" w:rsidR="00007AED" w:rsidRPr="005C27CB" w:rsidRDefault="00007AED">
      <w:pPr>
        <w:pStyle w:val="FootnoteText"/>
        <w:rPr>
          <w:lang w:val="pt-BR"/>
        </w:rPr>
      </w:pPr>
      <w:r w:rsidRPr="005C27CB">
        <w:rPr>
          <w:rStyle w:val="FootnoteReference"/>
          <w:lang w:val="pt-BR"/>
        </w:rPr>
        <w:footnoteRef/>
      </w:r>
      <w:r w:rsidRPr="005C27CB">
        <w:rPr>
          <w:lang w:val="pt-BR"/>
        </w:rPr>
        <w:t xml:space="preserve">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Ibid</w:t>
      </w:r>
      <w:proofErr w:type="spellEnd"/>
    </w:p>
  </w:footnote>
  <w:footnote w:id="5">
    <w:p w14:paraId="0103AD15" w14:textId="50E4E0D1" w:rsidR="00007AED" w:rsidRPr="005C27CB" w:rsidRDefault="00007AED">
      <w:pPr>
        <w:pStyle w:val="FootnoteText"/>
        <w:rPr>
          <w:rFonts w:ascii="Avenir Next" w:hAnsi="Avenir Next"/>
          <w:sz w:val="14"/>
          <w:szCs w:val="14"/>
          <w:lang w:val="en-GB"/>
        </w:rPr>
      </w:pPr>
      <w:r w:rsidRPr="005C27CB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5C27CB">
        <w:rPr>
          <w:rFonts w:ascii="Avenir Next" w:hAnsi="Avenir Next"/>
          <w:sz w:val="14"/>
          <w:szCs w:val="14"/>
          <w:lang w:val="pt-BR"/>
        </w:rPr>
        <w:t xml:space="preserve"> </w:t>
      </w:r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 xml:space="preserve">Mais detalhes </w:t>
      </w:r>
      <w:proofErr w:type="spellStart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em:</w:t>
      </w:r>
      <w:r w:rsidRPr="005C27CB">
        <w:rPr>
          <w:rFonts w:ascii="Avenir Next" w:hAnsi="Avenir Next"/>
          <w:sz w:val="14"/>
          <w:szCs w:val="14"/>
          <w:lang w:val="pt-BR"/>
        </w:rPr>
        <w:t>PwC</w:t>
      </w:r>
      <w:proofErr w:type="spellEnd"/>
      <w:r w:rsidRPr="005C27CB">
        <w:rPr>
          <w:rFonts w:ascii="Avenir Next" w:hAnsi="Avenir Next"/>
          <w:sz w:val="14"/>
          <w:szCs w:val="14"/>
          <w:lang w:val="pt-BR"/>
        </w:rPr>
        <w:t xml:space="preserve">. 2012.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Assessing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 Options for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Effective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Mechanisms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to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Share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Benefits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: Insights for REDD+ </w:t>
      </w:r>
      <w:proofErr w:type="spellStart"/>
      <w:r w:rsidRPr="005C27CB">
        <w:rPr>
          <w:rFonts w:ascii="Avenir Next" w:hAnsi="Avenir Next"/>
          <w:i/>
          <w:iCs/>
          <w:sz w:val="14"/>
          <w:szCs w:val="14"/>
          <w:lang w:val="pt-BR"/>
        </w:rPr>
        <w:t>Initiatives</w:t>
      </w:r>
      <w:proofErr w:type="spellEnd"/>
      <w:r w:rsidRPr="005C27CB">
        <w:rPr>
          <w:rFonts w:ascii="Avenir Next" w:hAnsi="Avenir Next"/>
          <w:i/>
          <w:iCs/>
          <w:sz w:val="14"/>
          <w:szCs w:val="14"/>
          <w:lang w:val="pt-BR"/>
        </w:rPr>
        <w:t xml:space="preserve">. </w:t>
      </w:r>
      <w:r w:rsidRPr="005C27CB">
        <w:rPr>
          <w:rFonts w:ascii="Avenir Next" w:hAnsi="Avenir Next"/>
          <w:sz w:val="14"/>
          <w:szCs w:val="14"/>
          <w:lang w:val="pt-BR"/>
        </w:rPr>
        <w:t xml:space="preserve">Washington, DC: </w:t>
      </w:r>
      <w:proofErr w:type="spellStart"/>
      <w:r w:rsidRPr="005C27CB">
        <w:rPr>
          <w:rFonts w:ascii="Avenir Next" w:hAnsi="Avenir Next"/>
          <w:sz w:val="14"/>
          <w:szCs w:val="14"/>
          <w:lang w:val="pt-BR"/>
        </w:rPr>
        <w:t>Program</w:t>
      </w:r>
      <w:proofErr w:type="spellEnd"/>
      <w:r w:rsidRPr="005C27CB">
        <w:rPr>
          <w:rFonts w:ascii="Avenir Next" w:hAnsi="Avenir Next"/>
          <w:sz w:val="14"/>
          <w:szCs w:val="14"/>
          <w:lang w:val="pt-BR"/>
        </w:rPr>
        <w:t xml:space="preserve"> </w:t>
      </w:r>
      <w:proofErr w:type="spellStart"/>
      <w:r w:rsidRPr="005C27CB">
        <w:rPr>
          <w:rFonts w:ascii="Avenir Next" w:hAnsi="Avenir Next"/>
          <w:sz w:val="14"/>
          <w:szCs w:val="14"/>
          <w:lang w:val="pt-BR"/>
        </w:rPr>
        <w:t>on</w:t>
      </w:r>
      <w:proofErr w:type="spellEnd"/>
      <w:r w:rsidRPr="005C27CB">
        <w:rPr>
          <w:rFonts w:ascii="Avenir Next" w:hAnsi="Avenir Next"/>
          <w:sz w:val="14"/>
          <w:szCs w:val="14"/>
          <w:lang w:val="pt-BR"/>
        </w:rPr>
        <w:t xml:space="preserve"> </w:t>
      </w:r>
      <w:proofErr w:type="spellStart"/>
      <w:r w:rsidRPr="005C27CB">
        <w:rPr>
          <w:rFonts w:ascii="Avenir Next" w:hAnsi="Avenir Next"/>
          <w:sz w:val="14"/>
          <w:szCs w:val="14"/>
          <w:lang w:val="pt-BR"/>
        </w:rPr>
        <w:t>Forests</w:t>
      </w:r>
      <w:proofErr w:type="spellEnd"/>
      <w:r w:rsidRPr="005C27CB">
        <w:rPr>
          <w:rFonts w:ascii="Avenir Next" w:hAnsi="Avenir Next"/>
          <w:sz w:val="14"/>
          <w:szCs w:val="14"/>
          <w:lang w:val="pt-BR"/>
        </w:rPr>
        <w:t xml:space="preserve"> (PROFOR)</w:t>
      </w:r>
    </w:p>
  </w:footnote>
  <w:footnote w:id="6">
    <w:p w14:paraId="06BD8700" w14:textId="6B6104C6" w:rsidR="00AF20E2" w:rsidRPr="00007AED" w:rsidRDefault="00AF20E2" w:rsidP="00AF20E2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007AED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007AED">
        <w:rPr>
          <w:rFonts w:ascii="Avenir Next" w:hAnsi="Avenir Next"/>
          <w:sz w:val="14"/>
          <w:szCs w:val="14"/>
          <w:lang w:val="pt-BR"/>
        </w:rPr>
        <w:t xml:space="preserve"> Nota: </w:t>
      </w:r>
      <w:r w:rsidR="00007AED" w:rsidRPr="00007AED">
        <w:rPr>
          <w:rFonts w:ascii="Avenir Next" w:hAnsi="Avenir Next"/>
          <w:color w:val="000000"/>
          <w:sz w:val="14"/>
          <w:szCs w:val="14"/>
          <w:lang w:val="pt-BR"/>
        </w:rPr>
        <w:t>as barreiras podem incluir inacessibilidade física, barreiras linguísticas, necessidades especiais, características de grupos vulneráveis ou marginalizados, entre outras.</w:t>
      </w:r>
    </w:p>
  </w:footnote>
  <w:footnote w:id="7">
    <w:p w14:paraId="01EEB806" w14:textId="38E0001B" w:rsidR="00007AED" w:rsidRPr="005C27CB" w:rsidRDefault="00007AED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5C27CB">
        <w:rPr>
          <w:rStyle w:val="FootnoteReference"/>
          <w:lang w:val="pt-BR"/>
        </w:rPr>
        <w:footnoteRef/>
      </w:r>
      <w:r w:rsidRPr="005C27CB">
        <w:rPr>
          <w:lang w:val="pt-BR"/>
        </w:rPr>
        <w:t xml:space="preserve"> </w:t>
      </w:r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 xml:space="preserve">Nota: Considere que os incentivos não monetários podem incluir bens, serviços ou outros, que fornecem um incentivo direto aos Beneficiários para ajudar a implementar as </w:t>
      </w:r>
      <w:proofErr w:type="spellStart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PaM</w:t>
      </w:r>
      <w:proofErr w:type="spellEnd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 xml:space="preserve"> e podem ser monitorados de maneira objetiva (por exemplo, assistência técnica, capacitação, aplicação da lei e contribuições ou investimentos em espécie, como mudas, equipamentos, </w:t>
      </w:r>
      <w:proofErr w:type="gramStart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edifícios, etc.</w:t>
      </w:r>
      <w:proofErr w:type="gramEnd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 xml:space="preserve">). Considere que os benefícios monetários geralmente envolvem transações monetárias para um grupo determinado de beneficiários, compensando os esforços e contribuições das partes interessadas selecionadas envolvidas na implementação das </w:t>
      </w:r>
      <w:proofErr w:type="spellStart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PaM</w:t>
      </w:r>
      <w:proofErr w:type="spellEnd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. Os benefícios monetários às vezes também são chamados de pagamentos em dinheiro, que podem ser baseados em desempenho ou não.</w:t>
      </w:r>
    </w:p>
  </w:footnote>
  <w:footnote w:id="8">
    <w:p w14:paraId="36054C9F" w14:textId="26D269F2" w:rsidR="00007AED" w:rsidRPr="00007AED" w:rsidRDefault="00007AED">
      <w:pPr>
        <w:pStyle w:val="FootnoteText"/>
        <w:rPr>
          <w:lang w:val="en-GB"/>
        </w:rPr>
      </w:pPr>
      <w:r w:rsidRPr="005C27CB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5C27CB">
        <w:rPr>
          <w:rFonts w:ascii="Avenir Next" w:hAnsi="Avenir Next"/>
          <w:sz w:val="14"/>
          <w:szCs w:val="14"/>
          <w:lang w:val="pt-BR"/>
        </w:rPr>
        <w:t xml:space="preserve"> </w:t>
      </w:r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Nota: A alocação poderia incluir considerações verticais – diferentes níveis de governo –, horizontais – entre comunidades, famílias – ou de acordo com os resultados alcançados, o esforço realizado ou qualquer outra consideração ou necessidade</w:t>
      </w:r>
    </w:p>
  </w:footnote>
  <w:footnote w:id="9">
    <w:p w14:paraId="082D1798" w14:textId="4F71CE29" w:rsidR="00007AED" w:rsidRPr="00007AED" w:rsidRDefault="00007AE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Nota: a tomada de decisões pode ser alocada em processos atuais, como comitês diretivos, plataformas interinstitucionais de tomada de decisão, entre outros. As estruturas necessárias para receber, gerir e desembolsar fundos podem incluir instituições existentes, como ministérios, fundos, entre outros.</w:t>
      </w:r>
    </w:p>
  </w:footnote>
  <w:footnote w:id="10">
    <w:p w14:paraId="4C7B2C16" w14:textId="716CFF15" w:rsidR="00AF20E2" w:rsidRPr="005C27CB" w:rsidRDefault="00AF20E2" w:rsidP="00AF20E2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5C27CB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5C27CB">
        <w:rPr>
          <w:rFonts w:ascii="Avenir Next" w:hAnsi="Avenir Next"/>
          <w:sz w:val="14"/>
          <w:szCs w:val="14"/>
          <w:lang w:val="pt-BR"/>
        </w:rPr>
        <w:t xml:space="preserve"> </w:t>
      </w:r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 xml:space="preserve">Nota: O alinhamento pode implicar a utilização de mecanismos e instituições atuais para operar ou </w:t>
      </w:r>
      <w:proofErr w:type="gramStart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criar outros novos</w:t>
      </w:r>
      <w:proofErr w:type="gramEnd"/>
      <w:r w:rsidR="005C27CB" w:rsidRPr="005C27CB">
        <w:rPr>
          <w:rFonts w:ascii="Avenir Next" w:hAnsi="Avenir Next"/>
          <w:color w:val="000000"/>
          <w:sz w:val="14"/>
          <w:szCs w:val="14"/>
          <w:lang w:val="pt-BR"/>
        </w:rPr>
        <w:t>, de acordo com os planos e legislações</w:t>
      </w:r>
      <w:r w:rsidRPr="005C27CB">
        <w:rPr>
          <w:rFonts w:ascii="Avenir Next" w:hAnsi="Avenir Next"/>
          <w:sz w:val="14"/>
          <w:szCs w:val="14"/>
          <w:lang w:val="pt-BR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54303"/>
    <w:multiLevelType w:val="hybridMultilevel"/>
    <w:tmpl w:val="0A4C7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1378C"/>
    <w:multiLevelType w:val="hybridMultilevel"/>
    <w:tmpl w:val="58925006"/>
    <w:lvl w:ilvl="0" w:tplc="5C769EA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494907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3E4377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DAED1C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D9296C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77AB45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B62EFB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BA04F5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EFA7F88">
      <w:numFmt w:val="decimal"/>
      <w:lvlText w:val=""/>
      <w:lvlJc w:val="left"/>
    </w:lvl>
  </w:abstractNum>
  <w:abstractNum w:abstractNumId="2" w15:restartNumberingAfterBreak="0">
    <w:nsid w:val="1224182F"/>
    <w:multiLevelType w:val="hybridMultilevel"/>
    <w:tmpl w:val="0F42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93D76"/>
    <w:multiLevelType w:val="hybridMultilevel"/>
    <w:tmpl w:val="5498E560"/>
    <w:lvl w:ilvl="0" w:tplc="58FAE4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4CA6D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492C3F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F7CABF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93881D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8E44FF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B463BD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8760E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EFA85AC">
      <w:numFmt w:val="decimal"/>
      <w:lvlText w:val=""/>
      <w:lvlJc w:val="left"/>
    </w:lvl>
  </w:abstractNum>
  <w:abstractNum w:abstractNumId="4" w15:restartNumberingAfterBreak="0">
    <w:nsid w:val="208720FC"/>
    <w:multiLevelType w:val="hybridMultilevel"/>
    <w:tmpl w:val="3E3298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169AD"/>
    <w:multiLevelType w:val="hybridMultilevel"/>
    <w:tmpl w:val="A49E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00159"/>
    <w:multiLevelType w:val="hybridMultilevel"/>
    <w:tmpl w:val="9ECC9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C7FD5"/>
    <w:multiLevelType w:val="hybridMultilevel"/>
    <w:tmpl w:val="DD70A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002F5"/>
    <w:multiLevelType w:val="hybridMultilevel"/>
    <w:tmpl w:val="372C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31B3C"/>
    <w:multiLevelType w:val="hybridMultilevel"/>
    <w:tmpl w:val="06C06088"/>
    <w:lvl w:ilvl="0" w:tplc="97A29C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47E836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62874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FCA0B5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2DA387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FFE9F7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7FEC37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2DC0ED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249B3A">
      <w:numFmt w:val="decimal"/>
      <w:lvlText w:val=""/>
      <w:lvlJc w:val="left"/>
    </w:lvl>
  </w:abstractNum>
  <w:abstractNum w:abstractNumId="10" w15:restartNumberingAfterBreak="0">
    <w:nsid w:val="317E71C5"/>
    <w:multiLevelType w:val="hybridMultilevel"/>
    <w:tmpl w:val="DCA2CC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33D07FD8"/>
    <w:multiLevelType w:val="hybridMultilevel"/>
    <w:tmpl w:val="CCFED26E"/>
    <w:lvl w:ilvl="0" w:tplc="7456605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2DED91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80644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67E03F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FFC34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0215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7A424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30CAEA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A6A1DDA">
      <w:numFmt w:val="decimal"/>
      <w:lvlText w:val=""/>
      <w:lvlJc w:val="left"/>
    </w:lvl>
  </w:abstractNum>
  <w:abstractNum w:abstractNumId="12" w15:restartNumberingAfterBreak="0">
    <w:nsid w:val="36AF106E"/>
    <w:multiLevelType w:val="hybridMultilevel"/>
    <w:tmpl w:val="FE62A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457CF"/>
    <w:multiLevelType w:val="hybridMultilevel"/>
    <w:tmpl w:val="E5E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1D03D6"/>
    <w:multiLevelType w:val="hybridMultilevel"/>
    <w:tmpl w:val="A5F406F8"/>
    <w:lvl w:ilvl="0" w:tplc="B574B2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BAC1B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90E1E0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BC8887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987F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AFC52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F4645F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F0C94C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FEA4706">
      <w:numFmt w:val="decimal"/>
      <w:lvlText w:val=""/>
      <w:lvlJc w:val="left"/>
    </w:lvl>
  </w:abstractNum>
  <w:abstractNum w:abstractNumId="15" w15:restartNumberingAfterBreak="0">
    <w:nsid w:val="5D572E0D"/>
    <w:multiLevelType w:val="hybridMultilevel"/>
    <w:tmpl w:val="26A4ED18"/>
    <w:lvl w:ilvl="0" w:tplc="31D05F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767B6"/>
    <w:multiLevelType w:val="hybridMultilevel"/>
    <w:tmpl w:val="F71A5B0C"/>
    <w:lvl w:ilvl="0" w:tplc="4F86212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BF4E8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B6AC8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4B86A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170354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6583E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FF25D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1B6B57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65E91F0">
      <w:numFmt w:val="decimal"/>
      <w:lvlText w:val=""/>
      <w:lvlJc w:val="left"/>
    </w:lvl>
  </w:abstractNum>
  <w:abstractNum w:abstractNumId="17" w15:restartNumberingAfterBreak="0">
    <w:nsid w:val="5E5F3A19"/>
    <w:multiLevelType w:val="hybridMultilevel"/>
    <w:tmpl w:val="2CD6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853030"/>
    <w:multiLevelType w:val="hybridMultilevel"/>
    <w:tmpl w:val="DF16C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6306C"/>
    <w:multiLevelType w:val="hybridMultilevel"/>
    <w:tmpl w:val="9BE4E2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3486D"/>
    <w:multiLevelType w:val="hybridMultilevel"/>
    <w:tmpl w:val="6C40489E"/>
    <w:lvl w:ilvl="0" w:tplc="4182646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7A6D4B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0101DD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464442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C9B1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950BA9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AB82D8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B3243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F46A2C0">
      <w:numFmt w:val="decimal"/>
      <w:lvlText w:val=""/>
      <w:lvlJc w:val="left"/>
    </w:lvl>
  </w:abstractNum>
  <w:abstractNum w:abstractNumId="21" w15:restartNumberingAfterBreak="0">
    <w:nsid w:val="65A37222"/>
    <w:multiLevelType w:val="hybridMultilevel"/>
    <w:tmpl w:val="90103158"/>
    <w:lvl w:ilvl="0" w:tplc="8A74F1F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B1453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90C816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004CCA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71EF30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CE8B45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ECA843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F5C802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06ECF7A">
      <w:numFmt w:val="decimal"/>
      <w:lvlText w:val=""/>
      <w:lvlJc w:val="left"/>
    </w:lvl>
  </w:abstractNum>
  <w:abstractNum w:abstractNumId="22" w15:restartNumberingAfterBreak="0">
    <w:nsid w:val="6EF160D7"/>
    <w:multiLevelType w:val="hybridMultilevel"/>
    <w:tmpl w:val="CE40E664"/>
    <w:lvl w:ilvl="0" w:tplc="1D7EAAB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476830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8E6C09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98555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48A35F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AC29D4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84CB4B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706093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AD08576">
      <w:numFmt w:val="decimal"/>
      <w:lvlText w:val=""/>
      <w:lvlJc w:val="left"/>
    </w:lvl>
  </w:abstractNum>
  <w:abstractNum w:abstractNumId="23" w15:restartNumberingAfterBreak="0">
    <w:nsid w:val="74C156B8"/>
    <w:multiLevelType w:val="hybridMultilevel"/>
    <w:tmpl w:val="250EE8A0"/>
    <w:lvl w:ilvl="0" w:tplc="F3B06020">
      <w:start w:val="1"/>
      <w:numFmt w:val="decimal"/>
      <w:lvlText w:val="%1."/>
      <w:lvlJc w:val="left"/>
      <w:pPr>
        <w:ind w:left="400" w:hanging="360"/>
      </w:pPr>
    </w:lvl>
    <w:lvl w:ilvl="1" w:tplc="08E0D65E">
      <w:start w:val="1"/>
      <w:numFmt w:val="lowerLetter"/>
      <w:lvlText w:val="%2."/>
      <w:lvlJc w:val="left"/>
      <w:pPr>
        <w:ind w:left="800" w:hanging="360"/>
      </w:pPr>
    </w:lvl>
    <w:lvl w:ilvl="2" w:tplc="7F44F16C">
      <w:start w:val="1"/>
      <w:numFmt w:val="lowerRoman"/>
      <w:lvlText w:val="%3."/>
      <w:lvlJc w:val="right"/>
      <w:pPr>
        <w:ind w:left="1200" w:hanging="180"/>
      </w:pPr>
    </w:lvl>
    <w:lvl w:ilvl="3" w:tplc="7E4A4024">
      <w:start w:val="1"/>
      <w:numFmt w:val="decimal"/>
      <w:lvlText w:val="%4."/>
      <w:lvlJc w:val="left"/>
      <w:pPr>
        <w:ind w:left="1600" w:hanging="360"/>
      </w:pPr>
    </w:lvl>
    <w:lvl w:ilvl="4" w:tplc="14185276">
      <w:start w:val="1"/>
      <w:numFmt w:val="lowerLetter"/>
      <w:lvlText w:val="%5."/>
      <w:lvlJc w:val="left"/>
      <w:pPr>
        <w:ind w:left="2000" w:hanging="360"/>
      </w:pPr>
    </w:lvl>
    <w:lvl w:ilvl="5" w:tplc="E328F6E2">
      <w:start w:val="1"/>
      <w:numFmt w:val="lowerRoman"/>
      <w:lvlText w:val="%6."/>
      <w:lvlJc w:val="right"/>
      <w:pPr>
        <w:ind w:left="2400" w:hanging="180"/>
      </w:pPr>
    </w:lvl>
    <w:lvl w:ilvl="6" w:tplc="DD50FC06">
      <w:start w:val="1"/>
      <w:numFmt w:val="decimal"/>
      <w:lvlText w:val="%7."/>
      <w:lvlJc w:val="left"/>
      <w:pPr>
        <w:ind w:left="2800" w:hanging="360"/>
      </w:pPr>
    </w:lvl>
    <w:lvl w:ilvl="7" w:tplc="FBFA42CC">
      <w:start w:val="1"/>
      <w:numFmt w:val="lowerLetter"/>
      <w:lvlText w:val="%8."/>
      <w:lvlJc w:val="left"/>
      <w:pPr>
        <w:ind w:left="3200" w:hanging="360"/>
      </w:pPr>
    </w:lvl>
    <w:lvl w:ilvl="8" w:tplc="E594EDF0">
      <w:numFmt w:val="decimal"/>
      <w:lvlText w:val=""/>
      <w:lvlJc w:val="left"/>
    </w:lvl>
  </w:abstractNum>
  <w:abstractNum w:abstractNumId="24" w15:restartNumberingAfterBreak="0">
    <w:nsid w:val="7D8F1BA6"/>
    <w:multiLevelType w:val="hybridMultilevel"/>
    <w:tmpl w:val="A9C80322"/>
    <w:lvl w:ilvl="0" w:tplc="6CF8FE5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045A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B5478D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26CCCF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F1C91C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60C0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62250F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ABAE0B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58CF44A">
      <w:numFmt w:val="decimal"/>
      <w:lvlText w:val=""/>
      <w:lvlJc w:val="left"/>
    </w:lvl>
  </w:abstractNum>
  <w:num w:numId="1" w16cid:durableId="1402486462">
    <w:abstractNumId w:val="14"/>
  </w:num>
  <w:num w:numId="2" w16cid:durableId="1603687328">
    <w:abstractNumId w:val="21"/>
  </w:num>
  <w:num w:numId="3" w16cid:durableId="1995722681">
    <w:abstractNumId w:val="3"/>
  </w:num>
  <w:num w:numId="4" w16cid:durableId="1060130663">
    <w:abstractNumId w:val="9"/>
  </w:num>
  <w:num w:numId="5" w16cid:durableId="1649823960">
    <w:abstractNumId w:val="23"/>
  </w:num>
  <w:num w:numId="6" w16cid:durableId="1977295341">
    <w:abstractNumId w:val="11"/>
  </w:num>
  <w:num w:numId="7" w16cid:durableId="878586522">
    <w:abstractNumId w:val="1"/>
  </w:num>
  <w:num w:numId="8" w16cid:durableId="484784992">
    <w:abstractNumId w:val="16"/>
  </w:num>
  <w:num w:numId="9" w16cid:durableId="1776091844">
    <w:abstractNumId w:val="20"/>
  </w:num>
  <w:num w:numId="10" w16cid:durableId="917248498">
    <w:abstractNumId w:val="22"/>
  </w:num>
  <w:num w:numId="11" w16cid:durableId="2018654926">
    <w:abstractNumId w:val="24"/>
  </w:num>
  <w:num w:numId="12" w16cid:durableId="472597053">
    <w:abstractNumId w:val="18"/>
  </w:num>
  <w:num w:numId="13" w16cid:durableId="1081290091">
    <w:abstractNumId w:val="8"/>
  </w:num>
  <w:num w:numId="14" w16cid:durableId="1895308963">
    <w:abstractNumId w:val="0"/>
  </w:num>
  <w:num w:numId="15" w16cid:durableId="879441378">
    <w:abstractNumId w:val="19"/>
  </w:num>
  <w:num w:numId="16" w16cid:durableId="1286816659">
    <w:abstractNumId w:val="10"/>
  </w:num>
  <w:num w:numId="17" w16cid:durableId="181631021">
    <w:abstractNumId w:val="7"/>
  </w:num>
  <w:num w:numId="18" w16cid:durableId="1629890419">
    <w:abstractNumId w:val="5"/>
  </w:num>
  <w:num w:numId="19" w16cid:durableId="1632590967">
    <w:abstractNumId w:val="2"/>
  </w:num>
  <w:num w:numId="20" w16cid:durableId="1030453660">
    <w:abstractNumId w:val="6"/>
  </w:num>
  <w:num w:numId="21" w16cid:durableId="302808389">
    <w:abstractNumId w:val="4"/>
  </w:num>
  <w:num w:numId="22" w16cid:durableId="1352954855">
    <w:abstractNumId w:val="12"/>
  </w:num>
  <w:num w:numId="23" w16cid:durableId="45489452">
    <w:abstractNumId w:val="15"/>
  </w:num>
  <w:num w:numId="24" w16cid:durableId="1774206844">
    <w:abstractNumId w:val="13"/>
  </w:num>
  <w:num w:numId="25" w16cid:durableId="4533293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4485"/>
    <w:rsid w:val="00007AED"/>
    <w:rsid w:val="000A47C3"/>
    <w:rsid w:val="000E0D3C"/>
    <w:rsid w:val="000E6504"/>
    <w:rsid w:val="001A4D55"/>
    <w:rsid w:val="001F2B6D"/>
    <w:rsid w:val="00245EDA"/>
    <w:rsid w:val="002578EA"/>
    <w:rsid w:val="00420A64"/>
    <w:rsid w:val="00496BCF"/>
    <w:rsid w:val="005A1C5D"/>
    <w:rsid w:val="005A729A"/>
    <w:rsid w:val="005C27CB"/>
    <w:rsid w:val="006250E2"/>
    <w:rsid w:val="0070168E"/>
    <w:rsid w:val="00910AC5"/>
    <w:rsid w:val="0099318C"/>
    <w:rsid w:val="00993FA3"/>
    <w:rsid w:val="009D0689"/>
    <w:rsid w:val="009D1A07"/>
    <w:rsid w:val="009E1107"/>
    <w:rsid w:val="00A87F45"/>
    <w:rsid w:val="00AF20E2"/>
    <w:rsid w:val="00BB07B2"/>
    <w:rsid w:val="00D601EC"/>
    <w:rsid w:val="00E1642C"/>
    <w:rsid w:val="00E35BBF"/>
    <w:rsid w:val="00ED7858"/>
    <w:rsid w:val="00F64485"/>
    <w:rsid w:val="00FD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2BD21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AF20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20E2"/>
    <w:rPr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,Superscript 6 Point + 11 pt,referencia nota al pie,Footnote Referenc"/>
    <w:basedOn w:val="DefaultParagraphFont"/>
    <w:uiPriority w:val="99"/>
    <w:unhideWhenUsed/>
    <w:qFormat/>
    <w:rsid w:val="00AF20E2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AF20E2"/>
    <w:pPr>
      <w:ind w:left="720"/>
      <w:contextualSpacing/>
    </w:pPr>
  </w:style>
  <w:style w:type="table" w:styleId="TableGrid">
    <w:name w:val="Table Grid"/>
    <w:basedOn w:val="TableNormal"/>
    <w:uiPriority w:val="39"/>
    <w:rsid w:val="00AF20E2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AF20E2"/>
  </w:style>
  <w:style w:type="character" w:styleId="Hyperlink">
    <w:name w:val="Hyperlink"/>
    <w:basedOn w:val="DefaultParagraphFont"/>
    <w:uiPriority w:val="99"/>
    <w:unhideWhenUsed/>
    <w:rsid w:val="005A72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729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007AED"/>
  </w:style>
  <w:style w:type="character" w:styleId="FollowedHyperlink">
    <w:name w:val="FollowedHyperlink"/>
    <w:basedOn w:val="DefaultParagraphFont"/>
    <w:uiPriority w:val="99"/>
    <w:semiHidden/>
    <w:unhideWhenUsed/>
    <w:rsid w:val="00007A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ifor.org/publications/pdf_files/Books/REDD-Benefit-Sharing.pdf" TargetMode="External"/><Relationship Id="rId2" Type="http://schemas.openxmlformats.org/officeDocument/2006/relationships/hyperlink" Target="https://www.nature.org/content/dam/tnc/nature/en/documents/tnc_benefit%20sharing_web.pdf" TargetMode="External"/><Relationship Id="rId1" Type="http://schemas.openxmlformats.org/officeDocument/2006/relationships/hyperlink" Target="https://wwfint.awsassets.panda.org/downloads/wwf_assessment_report_redd__programs_v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Bruna Oliveira</cp:lastModifiedBy>
  <cp:revision>13</cp:revision>
  <dcterms:created xsi:type="dcterms:W3CDTF">2024-06-02T13:59:00Z</dcterms:created>
  <dcterms:modified xsi:type="dcterms:W3CDTF">2024-06-28T00:07:00Z</dcterms:modified>
</cp:coreProperties>
</file>