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8CDC9" w14:textId="27D96C79" w:rsidR="00570DB1" w:rsidRPr="006A1607" w:rsidRDefault="00B01476">
      <w:pPr>
        <w:spacing w:before="120" w:after="120"/>
        <w:jc w:val="center"/>
        <w:rPr>
          <w:lang w:val="pt-BR"/>
        </w:rPr>
      </w:pPr>
      <w:r>
        <w:rPr>
          <w:noProof/>
        </w:rPr>
        <w:drawing>
          <wp:anchor distT="0" distB="0" distL="114300" distR="114300" simplePos="0" relativeHeight="251657215" behindDoc="0" locked="0" layoutInCell="1" allowOverlap="1" wp14:anchorId="41A5C764" wp14:editId="6829D4E6">
            <wp:simplePos x="0" y="0"/>
            <wp:positionH relativeFrom="page">
              <wp:posOffset>0</wp:posOffset>
            </wp:positionH>
            <wp:positionV relativeFrom="paragraph">
              <wp:posOffset>-1979</wp:posOffset>
            </wp:positionV>
            <wp:extent cx="7562850" cy="2268855"/>
            <wp:effectExtent l="0" t="0" r="0" b="0"/>
            <wp:wrapTopAndBottom/>
            <wp:docPr id="1018369422" name="Drawing 0" descr="68bae54e2f3e2f21b2305d4ca6fccc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68bae54e2f3e2f21b2305d4ca6fcccc4.png"/>
                    <pic:cNvPicPr>
                      <a:picLocks noChangeAspect="1"/>
                    </pic:cNvPicPr>
                  </pic:nvPicPr>
                  <pic:blipFill>
                    <a:blip r:embed="rId7"/>
                    <a:stretch>
                      <a:fillRect/>
                    </a:stretch>
                  </pic:blipFill>
                  <pic:spPr>
                    <a:xfrm>
                      <a:off x="0" y="0"/>
                      <a:ext cx="7562850" cy="2268855"/>
                    </a:xfrm>
                    <a:prstGeom prst="rect">
                      <a:avLst/>
                    </a:prstGeom>
                  </pic:spPr>
                </pic:pic>
              </a:graphicData>
            </a:graphic>
          </wp:anchor>
        </w:drawing>
      </w:r>
    </w:p>
    <w:p w14:paraId="02FB564A" w14:textId="4DCF88F3" w:rsidR="00570DB1" w:rsidRPr="006A1607" w:rsidRDefault="006A1607">
      <w:pPr>
        <w:spacing w:before="120" w:after="120" w:line="336" w:lineRule="auto"/>
        <w:rPr>
          <w:rFonts w:ascii="Bodoni 72 Book" w:hAnsi="Bodoni 72 Book"/>
          <w:lang w:val="pt-BR"/>
        </w:rPr>
      </w:pPr>
      <w:r w:rsidRPr="006A1607">
        <w:rPr>
          <w:rFonts w:ascii="Bodoni 72 Book" w:eastAsia="Prata" w:hAnsi="Bodoni 72 Book" w:cs="Prata"/>
          <w:color w:val="5B6C81"/>
          <w:sz w:val="64"/>
          <w:szCs w:val="64"/>
          <w:lang w:val="pt-BR"/>
        </w:rPr>
        <w:t>Considerações</w:t>
      </w:r>
      <w:r w:rsidR="003A7D40" w:rsidRPr="006A1607">
        <w:rPr>
          <w:rFonts w:ascii="Bodoni 72 Book" w:eastAsia="Prata" w:hAnsi="Bodoni 72 Book" w:cs="Prata"/>
          <w:color w:val="5B6C81"/>
          <w:sz w:val="64"/>
          <w:szCs w:val="64"/>
          <w:lang w:val="pt-BR"/>
        </w:rPr>
        <w:t xml:space="preserve"> </w:t>
      </w:r>
      <w:r w:rsidRPr="006A1607">
        <w:rPr>
          <w:rFonts w:ascii="Bodoni 72 Book" w:eastAsia="Prata" w:hAnsi="Bodoni 72 Book" w:cs="Prata"/>
          <w:color w:val="5B6C81"/>
          <w:sz w:val="64"/>
          <w:szCs w:val="64"/>
          <w:lang w:val="pt-BR"/>
        </w:rPr>
        <w:t>principais</w:t>
      </w:r>
    </w:p>
    <w:p w14:paraId="7F2A062F" w14:textId="77777777" w:rsidR="00570DB1" w:rsidRPr="006A1607" w:rsidRDefault="00570DB1">
      <w:pPr>
        <w:pBdr>
          <w:bottom w:val="single" w:sz="6" w:space="0" w:color="5B6C81"/>
        </w:pBdr>
        <w:spacing w:before="120" w:after="120" w:line="0" w:lineRule="auto"/>
        <w:rPr>
          <w:lang w:val="pt-BR"/>
        </w:rPr>
      </w:pPr>
    </w:p>
    <w:p w14:paraId="122F7AAB" w14:textId="35751669" w:rsidR="006A1607" w:rsidRDefault="006A1607">
      <w:pPr>
        <w:spacing w:before="120" w:after="120" w:line="336" w:lineRule="auto"/>
        <w:rPr>
          <w:rFonts w:ascii="Avenir Next" w:eastAsia="Montserrat" w:hAnsi="Avenir Next" w:cs="Montserrat"/>
          <w:color w:val="000000"/>
          <w:sz w:val="20"/>
          <w:szCs w:val="20"/>
          <w:lang w:val="pt-BR"/>
        </w:rPr>
      </w:pPr>
      <w:r w:rsidRPr="006A1607">
        <w:rPr>
          <w:rFonts w:ascii="Avenir Next" w:eastAsia="Montserrat" w:hAnsi="Avenir Next" w:cs="Montserrat"/>
          <w:color w:val="000000"/>
          <w:sz w:val="20"/>
          <w:szCs w:val="20"/>
          <w:lang w:val="pt-BR"/>
        </w:rPr>
        <w:t xml:space="preserve">A salvaguarda ‘D’ da CQNUMC refere-se à </w:t>
      </w:r>
      <w:r w:rsidRPr="006A1607">
        <w:rPr>
          <w:rFonts w:ascii="Avenir Next" w:eastAsia="Montserrat" w:hAnsi="Avenir Next" w:cs="Montserrat"/>
          <w:i/>
          <w:iCs/>
          <w:color w:val="000000"/>
          <w:sz w:val="20"/>
          <w:szCs w:val="20"/>
          <w:lang w:val="pt-BR"/>
        </w:rPr>
        <w:t>participação plena e efetiva das partes interessadas relevantes, em particular os povos indígenas e as comunidades locais. Além disso, a Decisão 1/CP.16, parágrafo 72, da CQNUMC solicita que as Partes de países em desenvolvimento, ao desenvolverem e implementarem suas estratégias ou planos de ação nacionais, garantam a participação plena e efetiva das partes interessadas relevantes, incluindo povos indígenas e comunidades locais</w:t>
      </w:r>
      <w:r w:rsidRPr="006A1607">
        <w:rPr>
          <w:rFonts w:ascii="Avenir Next" w:eastAsia="Montserrat" w:hAnsi="Avenir Next" w:cs="Montserrat"/>
          <w:color w:val="000000"/>
          <w:sz w:val="20"/>
          <w:szCs w:val="20"/>
          <w:lang w:val="pt-BR"/>
        </w:rPr>
        <w:t>.</w:t>
      </w:r>
    </w:p>
    <w:p w14:paraId="501B77D4" w14:textId="12E03742" w:rsidR="006A1607" w:rsidRDefault="006A1607">
      <w:pPr>
        <w:spacing w:before="120" w:after="120" w:line="336" w:lineRule="auto"/>
        <w:rPr>
          <w:rFonts w:ascii="Avenir Next" w:eastAsia="Montserrat" w:hAnsi="Avenir Next" w:cs="Montserrat"/>
          <w:color w:val="000000"/>
          <w:sz w:val="20"/>
          <w:szCs w:val="20"/>
          <w:lang w:val="pt-BR"/>
        </w:rPr>
      </w:pPr>
      <w:r w:rsidRPr="006A1607">
        <w:rPr>
          <w:rFonts w:ascii="Avenir Next" w:eastAsia="Montserrat" w:hAnsi="Avenir Next" w:cs="Montserrat"/>
          <w:color w:val="000000"/>
          <w:sz w:val="20"/>
          <w:szCs w:val="20"/>
          <w:lang w:val="pt-BR"/>
        </w:rPr>
        <w:t xml:space="preserve">Integrar as vozes das comunidades e dos indivíduos no design e na implementação de projetos e programas é um componente essencial das normas e práticas de salvaguardas reconhecidas internacionalmente. Ao envolver cedo e frequentemente as partes interessadas, os programas J-REDD+ podem desenvolver processos interativos e construtivos para garantir que as pessoas estejam </w:t>
      </w:r>
      <w:proofErr w:type="gramStart"/>
      <w:r w:rsidRPr="006A1607">
        <w:rPr>
          <w:rFonts w:ascii="Avenir Next" w:eastAsia="Montserrat" w:hAnsi="Avenir Next" w:cs="Montserrat"/>
          <w:color w:val="000000"/>
          <w:sz w:val="20"/>
          <w:szCs w:val="20"/>
          <w:lang w:val="pt-BR"/>
        </w:rPr>
        <w:t>bem informadas</w:t>
      </w:r>
      <w:proofErr w:type="gramEnd"/>
      <w:r w:rsidRPr="006A1607">
        <w:rPr>
          <w:rFonts w:ascii="Avenir Next" w:eastAsia="Montserrat" w:hAnsi="Avenir Next" w:cs="Montserrat"/>
          <w:color w:val="000000"/>
          <w:sz w:val="20"/>
          <w:szCs w:val="20"/>
          <w:lang w:val="pt-BR"/>
        </w:rPr>
        <w:t xml:space="preserve">, suas ideias sejam avançadas e suas preocupações sejam ouvidas e </w:t>
      </w:r>
      <w:r>
        <w:rPr>
          <w:rFonts w:ascii="Avenir Next" w:eastAsia="Montserrat" w:hAnsi="Avenir Next" w:cs="Montserrat"/>
          <w:color w:val="000000"/>
          <w:sz w:val="20"/>
          <w:szCs w:val="20"/>
          <w:lang w:val="pt-BR"/>
        </w:rPr>
        <w:t>atendi</w:t>
      </w:r>
      <w:r w:rsidRPr="006A1607">
        <w:rPr>
          <w:rFonts w:ascii="Avenir Next" w:eastAsia="Montserrat" w:hAnsi="Avenir Next" w:cs="Montserrat"/>
          <w:color w:val="000000"/>
          <w:sz w:val="20"/>
          <w:szCs w:val="20"/>
          <w:lang w:val="pt-BR"/>
        </w:rPr>
        <w:t>das.</w:t>
      </w:r>
    </w:p>
    <w:p w14:paraId="3C85CDC9" w14:textId="775A74B3" w:rsidR="003A7D40" w:rsidRPr="006A1607" w:rsidRDefault="006A1607" w:rsidP="003A7D40">
      <w:pPr>
        <w:spacing w:before="120" w:after="120" w:line="336" w:lineRule="auto"/>
        <w:rPr>
          <w:rFonts w:ascii="Avenir Next" w:eastAsia="Montserrat" w:hAnsi="Avenir Next" w:cs="Montserrat"/>
          <w:color w:val="000000"/>
          <w:sz w:val="20"/>
          <w:szCs w:val="20"/>
          <w:lang w:val="pt-BR"/>
        </w:rPr>
      </w:pPr>
      <w:r w:rsidRPr="006A1607">
        <w:rPr>
          <w:rFonts w:ascii="Avenir Next" w:eastAsia="Montserrat" w:hAnsi="Avenir Next" w:cs="Montserrat"/>
          <w:color w:val="000000"/>
          <w:sz w:val="20"/>
          <w:szCs w:val="20"/>
          <w:lang w:val="pt-BR"/>
        </w:rPr>
        <w:t>Para fins de demonstração de conformidade com esses requisitos da CQNUMC, espera-se que os programas REDD+ Jurisdicionais (J-REDD+) implementem ferramentas e processos alinhados com as melhores práticas internacionais. As melhores práticas internacionais reconhecem uma série de ferramentas:</w:t>
      </w:r>
      <w:r w:rsidR="003A7D40" w:rsidRPr="006A1607">
        <w:rPr>
          <w:rStyle w:val="FootnoteReference"/>
          <w:rFonts w:ascii="Avenir Next" w:eastAsia="Montserrat" w:hAnsi="Avenir Next" w:cs="Montserrat"/>
          <w:color w:val="000000"/>
          <w:sz w:val="20"/>
          <w:szCs w:val="20"/>
          <w:lang w:val="pt-BR"/>
        </w:rPr>
        <w:footnoteReference w:id="1"/>
      </w:r>
      <w:r w:rsidR="003A7D40" w:rsidRPr="006A1607">
        <w:rPr>
          <w:rStyle w:val="FootnoteReference"/>
          <w:rFonts w:ascii="Avenir Next" w:eastAsia="Montserrat" w:hAnsi="Avenir Next" w:cs="Montserrat"/>
          <w:color w:val="000000"/>
          <w:sz w:val="20"/>
          <w:szCs w:val="20"/>
          <w:lang w:val="pt-BR"/>
        </w:rPr>
        <w:footnoteReference w:id="2"/>
      </w:r>
      <w:r w:rsidR="003A7D40" w:rsidRPr="006A1607">
        <w:rPr>
          <w:rStyle w:val="FootnoteReference"/>
          <w:rFonts w:ascii="Avenir Next" w:eastAsia="Montserrat" w:hAnsi="Avenir Next" w:cs="Montserrat"/>
          <w:color w:val="000000"/>
          <w:sz w:val="20"/>
          <w:szCs w:val="20"/>
          <w:lang w:val="pt-BR"/>
        </w:rPr>
        <w:footnoteReference w:id="3"/>
      </w:r>
      <w:r w:rsidRPr="006A1607">
        <w:rPr>
          <w:rFonts w:ascii="Avenir Next" w:eastAsia="Montserrat" w:hAnsi="Avenir Next" w:cs="Montserrat"/>
          <w:color w:val="000000"/>
          <w:sz w:val="20"/>
          <w:szCs w:val="20"/>
          <w:lang w:val="pt-BR"/>
        </w:rPr>
        <w:t xml:space="preserve">: </w:t>
      </w:r>
    </w:p>
    <w:p w14:paraId="6E33D44A" w14:textId="16086466" w:rsidR="003A7D40" w:rsidRPr="009A1EEA" w:rsidRDefault="009A1EEA" w:rsidP="009A1EEA">
      <w:pPr>
        <w:pStyle w:val="ListParagraph"/>
        <w:numPr>
          <w:ilvl w:val="0"/>
          <w:numId w:val="10"/>
        </w:numPr>
        <w:spacing w:before="120" w:after="120" w:line="336" w:lineRule="auto"/>
        <w:rPr>
          <w:rFonts w:ascii="Avenir Next" w:eastAsia="Montserrat" w:hAnsi="Avenir Next" w:cs="Montserrat"/>
          <w:color w:val="000000"/>
          <w:sz w:val="20"/>
          <w:szCs w:val="20"/>
          <w:lang w:val="pt-BR"/>
        </w:rPr>
      </w:pPr>
      <w:r w:rsidRPr="009A1EEA">
        <w:rPr>
          <w:rFonts w:ascii="Avenir Next" w:eastAsia="Montserrat" w:hAnsi="Avenir Next" w:cs="Montserrat"/>
          <w:b/>
          <w:bCs/>
          <w:color w:val="000000"/>
          <w:sz w:val="20"/>
          <w:szCs w:val="20"/>
          <w:lang w:val="pt-BR"/>
        </w:rPr>
        <w:t>Identificação e análise de partes interessadas:</w:t>
      </w:r>
      <w:r w:rsidRPr="009A1EEA">
        <w:rPr>
          <w:rFonts w:ascii="Avenir Next" w:eastAsia="Montserrat" w:hAnsi="Avenir Next" w:cs="Montserrat"/>
          <w:color w:val="000000"/>
          <w:sz w:val="20"/>
          <w:szCs w:val="20"/>
          <w:lang w:val="pt-BR"/>
        </w:rPr>
        <w:t xml:space="preserve"> pode ser utilizada para identificar quem deve participar em relação ao programa J-REDD+ e mapear suas prioridades, direitos, </w:t>
      </w:r>
      <w:r w:rsidRPr="009A1EEA">
        <w:rPr>
          <w:rFonts w:ascii="Avenir Next" w:eastAsia="Montserrat" w:hAnsi="Avenir Next" w:cs="Montserrat"/>
          <w:color w:val="000000"/>
          <w:sz w:val="20"/>
          <w:szCs w:val="20"/>
          <w:lang w:val="pt-BR"/>
        </w:rPr>
        <w:lastRenderedPageBreak/>
        <w:t>necessidades e desejos prioritários. É necessário prestar atenção</w:t>
      </w:r>
      <w:r>
        <w:rPr>
          <w:rFonts w:ascii="Avenir Next" w:eastAsia="Montserrat" w:hAnsi="Avenir Next" w:cs="Montserrat"/>
          <w:color w:val="000000"/>
          <w:sz w:val="20"/>
          <w:szCs w:val="20"/>
          <w:lang w:val="pt-BR"/>
        </w:rPr>
        <w:t xml:space="preserve"> especial</w:t>
      </w:r>
      <w:r w:rsidRPr="009A1EEA">
        <w:rPr>
          <w:rFonts w:ascii="Avenir Next" w:eastAsia="Montserrat" w:hAnsi="Avenir Next" w:cs="Montserrat"/>
          <w:color w:val="000000"/>
          <w:sz w:val="20"/>
          <w:szCs w:val="20"/>
          <w:lang w:val="pt-BR"/>
        </w:rPr>
        <w:t xml:space="preserve"> à inclusão dos povos indígenas e outras comunidades dependentes das florestas, das mulheres e de outros grupos marginalizados. Os grupos de partes interessadas devem receber apoio para que eles mesmos selecionem seus representantes, quando apropriado.</w:t>
      </w:r>
    </w:p>
    <w:p w14:paraId="45DB86F9" w14:textId="77777777" w:rsidR="009A1EEA" w:rsidRDefault="009A1EEA" w:rsidP="009A1EEA">
      <w:pPr>
        <w:pStyle w:val="ListParagraph"/>
        <w:numPr>
          <w:ilvl w:val="0"/>
          <w:numId w:val="10"/>
        </w:numPr>
        <w:spacing w:before="120" w:after="120" w:line="336" w:lineRule="auto"/>
        <w:rPr>
          <w:rFonts w:ascii="Avenir Next" w:eastAsia="Montserrat" w:hAnsi="Avenir Next" w:cs="Montserrat"/>
          <w:color w:val="000000"/>
          <w:sz w:val="20"/>
          <w:szCs w:val="20"/>
          <w:lang w:val="pt-BR"/>
        </w:rPr>
      </w:pPr>
      <w:r w:rsidRPr="009A1EEA">
        <w:rPr>
          <w:rFonts w:ascii="Avenir Next" w:eastAsia="Montserrat" w:hAnsi="Avenir Next" w:cs="Montserrat"/>
          <w:b/>
          <w:bCs/>
          <w:color w:val="000000"/>
          <w:sz w:val="20"/>
          <w:szCs w:val="20"/>
          <w:lang w:val="pt-BR"/>
        </w:rPr>
        <w:t>Plano de engajamento de partes interessadas:</w:t>
      </w:r>
      <w:r w:rsidRPr="009A1EEA">
        <w:rPr>
          <w:rFonts w:ascii="Avenir Next" w:eastAsia="Montserrat" w:hAnsi="Avenir Next" w:cs="Montserrat"/>
          <w:color w:val="000000"/>
          <w:sz w:val="20"/>
          <w:szCs w:val="20"/>
          <w:lang w:val="pt-BR"/>
        </w:rPr>
        <w:t xml:space="preserve"> determina os princípios e abordagens que serão usados para garantir a participação significativa das partes interessadas, observando que as consultas com povos indígenas devem ser realizadas através de seus próprios processos, organizações e instituições existentes. O plano de engajamento de partes interessadas pode abranger a criação de corpos ou plataformas de representação, como plataformas </w:t>
      </w:r>
      <w:proofErr w:type="spellStart"/>
      <w:r w:rsidRPr="009A1EEA">
        <w:rPr>
          <w:rFonts w:ascii="Avenir Next" w:eastAsia="Montserrat" w:hAnsi="Avenir Next" w:cs="Montserrat"/>
          <w:color w:val="000000"/>
          <w:sz w:val="20"/>
          <w:szCs w:val="20"/>
          <w:lang w:val="pt-BR"/>
        </w:rPr>
        <w:t>multi-stakeholder</w:t>
      </w:r>
      <w:proofErr w:type="spellEnd"/>
      <w:r w:rsidRPr="009A1EEA">
        <w:rPr>
          <w:rFonts w:ascii="Avenir Next" w:eastAsia="Montserrat" w:hAnsi="Avenir Next" w:cs="Montserrat"/>
          <w:color w:val="000000"/>
          <w:sz w:val="20"/>
          <w:szCs w:val="20"/>
          <w:lang w:val="pt-BR"/>
        </w:rPr>
        <w:t>, que podem servir como estruturas participativas e mecanismos para facilitar a participação plena e efetiva das partes interessadas.</w:t>
      </w:r>
    </w:p>
    <w:p w14:paraId="3DC23D32" w14:textId="77777777" w:rsidR="009A1EEA" w:rsidRDefault="009A1EEA" w:rsidP="009A1EEA">
      <w:pPr>
        <w:pStyle w:val="ListParagraph"/>
        <w:numPr>
          <w:ilvl w:val="0"/>
          <w:numId w:val="10"/>
        </w:numPr>
        <w:spacing w:before="120" w:after="120" w:line="336" w:lineRule="auto"/>
        <w:rPr>
          <w:rFonts w:ascii="Avenir Next" w:eastAsia="Montserrat" w:hAnsi="Avenir Next" w:cs="Montserrat"/>
          <w:color w:val="000000"/>
          <w:sz w:val="20"/>
          <w:szCs w:val="20"/>
          <w:lang w:val="pt-BR"/>
        </w:rPr>
      </w:pPr>
      <w:r w:rsidRPr="009A1EEA">
        <w:rPr>
          <w:rFonts w:ascii="Avenir Next" w:eastAsia="Montserrat" w:hAnsi="Avenir Next" w:cs="Montserrat"/>
          <w:b/>
          <w:bCs/>
          <w:color w:val="000000"/>
          <w:sz w:val="20"/>
          <w:szCs w:val="20"/>
          <w:lang w:val="pt-BR"/>
        </w:rPr>
        <w:t>Divulgação de informações:</w:t>
      </w:r>
      <w:r w:rsidRPr="009A1EEA">
        <w:rPr>
          <w:rFonts w:ascii="Avenir Next" w:eastAsia="Montserrat" w:hAnsi="Avenir Next" w:cs="Montserrat"/>
          <w:color w:val="000000"/>
          <w:sz w:val="20"/>
          <w:szCs w:val="20"/>
          <w:lang w:val="pt-BR"/>
        </w:rPr>
        <w:t xml:space="preserve"> Divulgação é um termo formal para tornar a informação acessível às partes interessadas e afetadas. Comunicar essas informações de maneira compreensível para as partes interessadas é um passo importante (e contínuo) no processo de engajamento das partes interessadas. Todas as outras atividades, desde consulta e participação informada até negociação e resolução de queixas, serão mais construtivas se as partes interessadas, incluindo as comunidades afetadas, tiverem informações precisas e oportunas sobre o programa J-REDD+, seus impactos e quaisquer outros aspectos que possam afetá-las.</w:t>
      </w:r>
    </w:p>
    <w:p w14:paraId="7EFACDA0" w14:textId="297EB717" w:rsidR="00570DB1" w:rsidRPr="009A1EEA" w:rsidRDefault="009A1EEA" w:rsidP="009A1EEA">
      <w:pPr>
        <w:pStyle w:val="ListParagraph"/>
        <w:numPr>
          <w:ilvl w:val="0"/>
          <w:numId w:val="10"/>
        </w:numPr>
        <w:spacing w:before="120" w:after="120" w:line="336" w:lineRule="auto"/>
        <w:rPr>
          <w:rFonts w:ascii="Avenir Next" w:eastAsia="Montserrat" w:hAnsi="Avenir Next" w:cs="Montserrat"/>
          <w:color w:val="000000"/>
          <w:sz w:val="20"/>
          <w:szCs w:val="20"/>
          <w:lang w:val="pt-BR"/>
        </w:rPr>
      </w:pPr>
      <w:r w:rsidRPr="009A1EEA">
        <w:rPr>
          <w:rFonts w:ascii="Avenir Next" w:eastAsia="Montserrat" w:hAnsi="Avenir Next" w:cs="Montserrat"/>
          <w:b/>
          <w:bCs/>
          <w:color w:val="000000"/>
          <w:sz w:val="20"/>
          <w:szCs w:val="20"/>
          <w:lang w:val="pt-BR"/>
        </w:rPr>
        <w:t>Acesso a mecanismos de reparação de queixas (</w:t>
      </w:r>
      <w:proofErr w:type="spellStart"/>
      <w:r w:rsidRPr="009A1EEA">
        <w:rPr>
          <w:rFonts w:ascii="Avenir Next" w:eastAsia="Montserrat" w:hAnsi="Avenir Next" w:cs="Montserrat"/>
          <w:b/>
          <w:bCs/>
          <w:color w:val="000000"/>
          <w:sz w:val="20"/>
          <w:szCs w:val="20"/>
          <w:lang w:val="pt-BR"/>
        </w:rPr>
        <w:t>MRQs</w:t>
      </w:r>
      <w:proofErr w:type="spellEnd"/>
      <w:r w:rsidRPr="009A1EEA">
        <w:rPr>
          <w:rFonts w:ascii="Avenir Next" w:eastAsia="Montserrat" w:hAnsi="Avenir Next" w:cs="Montserrat"/>
          <w:b/>
          <w:bCs/>
          <w:color w:val="000000"/>
          <w:sz w:val="20"/>
          <w:szCs w:val="20"/>
          <w:lang w:val="pt-BR"/>
        </w:rPr>
        <w:t xml:space="preserve">): </w:t>
      </w:r>
      <w:r w:rsidR="00744A3E" w:rsidRPr="00744A3E">
        <w:rPr>
          <w:rFonts w:ascii="Avenir Next" w:eastAsia="Montserrat" w:hAnsi="Avenir Next" w:cs="Montserrat"/>
          <w:color w:val="000000"/>
          <w:sz w:val="20"/>
          <w:szCs w:val="20"/>
          <w:lang w:val="pt-BR"/>
        </w:rPr>
        <w:t>Os</w:t>
      </w:r>
      <w:r w:rsidR="00744A3E">
        <w:rPr>
          <w:rFonts w:ascii="Avenir Next" w:eastAsia="Montserrat" w:hAnsi="Avenir Next" w:cs="Montserrat"/>
          <w:b/>
          <w:bCs/>
          <w:color w:val="000000"/>
          <w:sz w:val="20"/>
          <w:szCs w:val="20"/>
          <w:lang w:val="pt-BR"/>
        </w:rPr>
        <w:t xml:space="preserve"> </w:t>
      </w:r>
      <w:proofErr w:type="spellStart"/>
      <w:r w:rsidRPr="009A1EEA">
        <w:rPr>
          <w:rFonts w:ascii="Avenir Next" w:eastAsia="Montserrat" w:hAnsi="Avenir Next" w:cs="Montserrat"/>
          <w:color w:val="000000"/>
          <w:sz w:val="20"/>
          <w:szCs w:val="20"/>
          <w:lang w:val="pt-BR"/>
        </w:rPr>
        <w:t>MRQs</w:t>
      </w:r>
      <w:proofErr w:type="spellEnd"/>
      <w:r w:rsidRPr="009A1EEA">
        <w:rPr>
          <w:rFonts w:ascii="Avenir Next" w:eastAsia="Montserrat" w:hAnsi="Avenir Next" w:cs="Montserrat"/>
          <w:color w:val="000000"/>
          <w:sz w:val="20"/>
          <w:szCs w:val="20"/>
          <w:lang w:val="pt-BR"/>
        </w:rPr>
        <w:t xml:space="preserve"> atuam como recurso para situações em que, apesar do engajamento proativo das partes interessadas, algumas partes interessadas têm uma preocupação sobre os potenciais impactos de um projeto ou programa sobre elas. A Ferramenta 5 examina a qualidade dos </w:t>
      </w:r>
      <w:proofErr w:type="spellStart"/>
      <w:r w:rsidRPr="009A1EEA">
        <w:rPr>
          <w:rFonts w:ascii="Avenir Next" w:eastAsia="Montserrat" w:hAnsi="Avenir Next" w:cs="Montserrat"/>
          <w:color w:val="000000"/>
          <w:sz w:val="20"/>
          <w:szCs w:val="20"/>
          <w:lang w:val="pt-BR"/>
        </w:rPr>
        <w:t>MRQs</w:t>
      </w:r>
      <w:proofErr w:type="spellEnd"/>
      <w:r w:rsidRPr="009A1EEA">
        <w:rPr>
          <w:rFonts w:ascii="Avenir Next" w:eastAsia="Montserrat" w:hAnsi="Avenir Next" w:cs="Montserrat"/>
          <w:color w:val="000000"/>
          <w:sz w:val="20"/>
          <w:szCs w:val="20"/>
          <w:lang w:val="pt-BR"/>
        </w:rPr>
        <w:t xml:space="preserve"> disponíveis.</w:t>
      </w:r>
    </w:p>
    <w:p w14:paraId="5C86C285" w14:textId="77777777" w:rsidR="00E7223A" w:rsidRPr="00496BCF" w:rsidRDefault="00E7223A" w:rsidP="00E7223A">
      <w:pPr>
        <w:spacing w:before="120" w:after="120" w:line="336" w:lineRule="auto"/>
        <w:rPr>
          <w:rFonts w:ascii="Avenir Next" w:hAnsi="Avenir Next"/>
          <w:sz w:val="20"/>
          <w:szCs w:val="20"/>
          <w:lang w:val="pt-BR"/>
        </w:rPr>
      </w:pPr>
      <w:r w:rsidRPr="00496BCF">
        <w:rPr>
          <w:rFonts w:ascii="Avenir Next" w:hAnsi="Avenir Next"/>
          <w:sz w:val="20"/>
          <w:szCs w:val="20"/>
          <w:lang w:val="pt-BR"/>
        </w:rPr>
        <w:t>Portanto, esta ferramenta tem como objetivo ajudar os programas J-REDD+ a entender melhor:</w:t>
      </w:r>
    </w:p>
    <w:p w14:paraId="38E15BA2" w14:textId="397B6317" w:rsidR="00E7223A" w:rsidRDefault="00E7223A" w:rsidP="00E7223A">
      <w:pPr>
        <w:pStyle w:val="ListParagraph"/>
        <w:numPr>
          <w:ilvl w:val="0"/>
          <w:numId w:val="16"/>
        </w:numPr>
        <w:spacing w:before="120" w:after="120" w:line="336" w:lineRule="auto"/>
        <w:rPr>
          <w:rFonts w:ascii="Avenir Next" w:hAnsi="Avenir Next"/>
          <w:sz w:val="20"/>
          <w:szCs w:val="20"/>
          <w:lang w:val="pt-BR"/>
        </w:rPr>
      </w:pPr>
      <w:r w:rsidRPr="00496BCF">
        <w:rPr>
          <w:rFonts w:ascii="Avenir Next" w:hAnsi="Avenir Next"/>
          <w:sz w:val="20"/>
          <w:szCs w:val="20"/>
          <w:lang w:val="pt-BR"/>
        </w:rPr>
        <w:t xml:space="preserve">O nível de alinhamento de </w:t>
      </w:r>
      <w:r>
        <w:rPr>
          <w:rFonts w:ascii="Avenir Next" w:hAnsi="Avenir Next"/>
          <w:sz w:val="20"/>
          <w:szCs w:val="20"/>
          <w:lang w:val="pt-BR"/>
        </w:rPr>
        <w:t>suas abordagens participativas</w:t>
      </w:r>
      <w:r w:rsidRPr="00496BCF">
        <w:rPr>
          <w:rFonts w:ascii="Avenir Next" w:hAnsi="Avenir Next"/>
          <w:sz w:val="20"/>
          <w:szCs w:val="20"/>
          <w:lang w:val="pt-BR"/>
        </w:rPr>
        <w:t xml:space="preserve"> </w:t>
      </w:r>
      <w:r>
        <w:rPr>
          <w:rFonts w:ascii="Avenir Next" w:hAnsi="Avenir Next"/>
          <w:sz w:val="20"/>
          <w:szCs w:val="20"/>
          <w:lang w:val="pt-BR"/>
        </w:rPr>
        <w:t>as melhores práticas internacionais.</w:t>
      </w:r>
      <w:r w:rsidRPr="00496BCF">
        <w:rPr>
          <w:rFonts w:ascii="Avenir Next" w:hAnsi="Avenir Next"/>
          <w:sz w:val="20"/>
          <w:szCs w:val="20"/>
          <w:lang w:val="pt-BR"/>
        </w:rPr>
        <w:t xml:space="preserve"> </w:t>
      </w:r>
    </w:p>
    <w:p w14:paraId="0D175433" w14:textId="27D4AC22" w:rsidR="00570DB1" w:rsidRPr="00E7223A" w:rsidRDefault="00E7223A" w:rsidP="00E7223A">
      <w:pPr>
        <w:pStyle w:val="ListParagraph"/>
        <w:numPr>
          <w:ilvl w:val="0"/>
          <w:numId w:val="16"/>
        </w:numPr>
        <w:spacing w:before="120" w:after="120" w:line="336" w:lineRule="auto"/>
        <w:rPr>
          <w:rFonts w:ascii="Bodoni 72 Book" w:hAnsi="Bodoni 72 Book"/>
          <w:lang w:val="pt-BR"/>
        </w:rPr>
      </w:pPr>
      <w:r w:rsidRPr="00951723">
        <w:rPr>
          <w:rFonts w:ascii="Avenir Next" w:hAnsi="Avenir Next"/>
          <w:sz w:val="20"/>
          <w:szCs w:val="20"/>
          <w:lang w:val="pt-BR"/>
        </w:rPr>
        <w:t xml:space="preserve">Identificar quaisquer lacunas, fraquezas e/ou possíveis </w:t>
      </w:r>
      <w:r>
        <w:rPr>
          <w:rFonts w:ascii="Avenir Next" w:hAnsi="Avenir Next"/>
          <w:sz w:val="20"/>
          <w:szCs w:val="20"/>
          <w:lang w:val="pt-BR"/>
        </w:rPr>
        <w:t xml:space="preserve">inconsistências </w:t>
      </w:r>
      <w:r w:rsidRPr="00951723">
        <w:rPr>
          <w:rFonts w:ascii="Avenir Next" w:eastAsia="Montserrat" w:hAnsi="Avenir Next" w:cs="Montserrat"/>
          <w:color w:val="000000"/>
          <w:sz w:val="20"/>
          <w:szCs w:val="20"/>
          <w:lang w:val="pt-BR"/>
        </w:rPr>
        <w:t>nesses arranjos e identificar recomendações para abordá-las.</w:t>
      </w:r>
    </w:p>
    <w:p w14:paraId="349F2074" w14:textId="77777777" w:rsidR="00E7223A" w:rsidRDefault="00E7223A" w:rsidP="00E7223A">
      <w:pPr>
        <w:spacing w:before="120" w:after="120" w:line="336" w:lineRule="auto"/>
        <w:rPr>
          <w:rFonts w:ascii="Bodoni 72 Book" w:hAnsi="Bodoni 72 Book"/>
          <w:lang w:val="pt-BR"/>
        </w:rPr>
      </w:pPr>
    </w:p>
    <w:p w14:paraId="311D3EA4" w14:textId="77777777" w:rsidR="00E7223A" w:rsidRDefault="00E7223A" w:rsidP="00E7223A">
      <w:pPr>
        <w:spacing w:before="120" w:after="120" w:line="336" w:lineRule="auto"/>
        <w:rPr>
          <w:rFonts w:ascii="Bodoni 72 Book" w:hAnsi="Bodoni 72 Book"/>
          <w:lang w:val="pt-BR"/>
        </w:rPr>
      </w:pPr>
    </w:p>
    <w:p w14:paraId="1F17388D" w14:textId="77777777" w:rsidR="00E7223A" w:rsidRDefault="00E7223A" w:rsidP="00E7223A">
      <w:pPr>
        <w:spacing w:before="120" w:after="120" w:line="336" w:lineRule="auto"/>
        <w:rPr>
          <w:rFonts w:ascii="Bodoni 72 Book" w:hAnsi="Bodoni 72 Book"/>
          <w:lang w:val="pt-BR"/>
        </w:rPr>
      </w:pPr>
    </w:p>
    <w:p w14:paraId="54D81A08" w14:textId="77777777" w:rsidR="00E7223A" w:rsidRPr="00E7223A" w:rsidRDefault="00E7223A" w:rsidP="00E7223A">
      <w:pPr>
        <w:spacing w:before="120" w:after="120" w:line="336" w:lineRule="auto"/>
        <w:rPr>
          <w:rFonts w:ascii="Bodoni 72 Book" w:hAnsi="Bodoni 72 Book"/>
          <w:lang w:val="pt-BR"/>
        </w:rPr>
      </w:pPr>
    </w:p>
    <w:p w14:paraId="5305E033" w14:textId="2E61C8E4" w:rsidR="00570DB1" w:rsidRPr="006A1607" w:rsidRDefault="00E7223A">
      <w:pPr>
        <w:spacing w:before="120" w:after="120" w:line="336" w:lineRule="auto"/>
        <w:rPr>
          <w:rFonts w:ascii="Bodoni 72 Book" w:hAnsi="Bodoni 72 Book"/>
          <w:lang w:val="pt-BR"/>
        </w:rPr>
      </w:pPr>
      <w:r w:rsidRPr="006A1607">
        <w:rPr>
          <w:rFonts w:ascii="Bodoni 72 Book" w:eastAsia="Prata" w:hAnsi="Bodoni 72 Book" w:cs="Prata"/>
          <w:color w:val="5B6C81"/>
          <w:sz w:val="64"/>
          <w:szCs w:val="64"/>
          <w:lang w:val="pt-BR"/>
        </w:rPr>
        <w:lastRenderedPageBreak/>
        <w:t>Como</w:t>
      </w:r>
      <w:r w:rsidR="003A7D40" w:rsidRPr="006A1607">
        <w:rPr>
          <w:rFonts w:ascii="Bodoni 72 Book" w:eastAsia="Prata" w:hAnsi="Bodoni 72 Book" w:cs="Prata"/>
          <w:color w:val="5B6C81"/>
          <w:sz w:val="64"/>
          <w:szCs w:val="64"/>
          <w:lang w:val="pt-BR"/>
        </w:rPr>
        <w:t xml:space="preserve"> utilizar esta </w:t>
      </w:r>
      <w:r>
        <w:rPr>
          <w:rFonts w:ascii="Bodoni 72 Book" w:eastAsia="Prata" w:hAnsi="Bodoni 72 Book" w:cs="Prata"/>
          <w:color w:val="5B6C81"/>
          <w:sz w:val="64"/>
          <w:szCs w:val="64"/>
          <w:lang w:val="pt-BR"/>
        </w:rPr>
        <w:t>ferramenta</w:t>
      </w:r>
      <w:r w:rsidR="003A7D40" w:rsidRPr="006A1607">
        <w:rPr>
          <w:rFonts w:ascii="Bodoni 72 Book" w:eastAsia="Prata" w:hAnsi="Bodoni 72 Book" w:cs="Prata"/>
          <w:color w:val="5B6C81"/>
          <w:sz w:val="64"/>
          <w:szCs w:val="64"/>
          <w:lang w:val="pt-BR"/>
        </w:rPr>
        <w:t xml:space="preserve">?  </w:t>
      </w:r>
    </w:p>
    <w:tbl>
      <w:tblPr>
        <w:tblW w:w="9030" w:type="dxa"/>
        <w:tblInd w:w="18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570DB1" w:rsidRPr="006A1607" w14:paraId="4F706F2D" w14:textId="77777777">
        <w:tc>
          <w:tcPr>
            <w:tcW w:w="9030" w:type="dxa"/>
            <w:shd w:val="clear" w:color="auto" w:fill="5B6C81"/>
            <w:tcMar>
              <w:top w:w="180" w:type="dxa"/>
              <w:left w:w="180" w:type="dxa"/>
              <w:bottom w:w="180" w:type="dxa"/>
              <w:right w:w="180" w:type="dxa"/>
            </w:tcMar>
          </w:tcPr>
          <w:p w14:paraId="3F59170C" w14:textId="77777777" w:rsidR="00E7223A" w:rsidRPr="009E1107" w:rsidRDefault="00E7223A" w:rsidP="00E7223A">
            <w:pPr>
              <w:spacing w:before="120" w:after="120" w:line="336" w:lineRule="auto"/>
              <w:rPr>
                <w:rFonts w:ascii="Avenir Next" w:eastAsia="IBM Plex Sans" w:hAnsi="Avenir Next" w:cs="IBM Plex Sans"/>
                <w:color w:val="FFFFFF" w:themeColor="background1"/>
                <w:sz w:val="20"/>
                <w:szCs w:val="20"/>
                <w:lang w:val="pt-BR"/>
              </w:rPr>
            </w:pPr>
            <w:r w:rsidRPr="009E1107">
              <w:rPr>
                <w:rFonts w:ascii="Avenir Next" w:eastAsia="IBM Plex Sans" w:hAnsi="Avenir Next" w:cs="IBM Plex Sans"/>
                <w:color w:val="FFFFFF" w:themeColor="background1"/>
                <w:sz w:val="20"/>
                <w:szCs w:val="20"/>
                <w:lang w:val="pt-BR"/>
              </w:rPr>
              <w:t>Esta ferramenta se divide em duas partes:</w:t>
            </w:r>
          </w:p>
          <w:p w14:paraId="57D5F4FC" w14:textId="61D50DE0" w:rsidR="00E7223A" w:rsidRPr="009E1107" w:rsidRDefault="00E7223A" w:rsidP="00E7223A">
            <w:pPr>
              <w:pStyle w:val="ListParagraph"/>
              <w:numPr>
                <w:ilvl w:val="0"/>
                <w:numId w:val="13"/>
              </w:numPr>
              <w:spacing w:before="120" w:after="120" w:line="336" w:lineRule="auto"/>
              <w:rPr>
                <w:rFonts w:ascii="Avenir Next" w:eastAsia="IBM Plex Sans" w:hAnsi="Avenir Next" w:cs="IBM Plex Sans"/>
                <w:color w:val="FFFFFF" w:themeColor="background1"/>
                <w:sz w:val="20"/>
                <w:szCs w:val="20"/>
                <w:lang w:val="pt-BR"/>
              </w:rPr>
            </w:pPr>
            <w:r w:rsidRPr="009E1107">
              <w:rPr>
                <w:rFonts w:ascii="Avenir Next" w:eastAsia="IBM Plex Sans" w:hAnsi="Avenir Next" w:cs="IBM Plex Sans"/>
                <w:b/>
                <w:bCs/>
                <w:color w:val="FFFFFF" w:themeColor="background1"/>
                <w:sz w:val="20"/>
                <w:szCs w:val="20"/>
                <w:lang w:val="pt-BR"/>
              </w:rPr>
              <w:t>Parte A:</w:t>
            </w:r>
            <w:r w:rsidRPr="009E1107">
              <w:rPr>
                <w:rFonts w:ascii="Avenir Next" w:eastAsia="IBM Plex Sans" w:hAnsi="Avenir Next" w:cs="IBM Plex Sans"/>
                <w:color w:val="FFFFFF" w:themeColor="background1"/>
                <w:sz w:val="20"/>
                <w:szCs w:val="20"/>
                <w:lang w:val="pt-BR"/>
              </w:rPr>
              <w:t xml:space="preserve">  </w:t>
            </w:r>
            <w:r w:rsidRPr="009E1107">
              <w:rPr>
                <w:rFonts w:ascii="Avenir Next" w:hAnsi="Avenir Next"/>
                <w:color w:val="FFFFFF" w:themeColor="background1"/>
                <w:sz w:val="20"/>
                <w:szCs w:val="20"/>
                <w:lang w:val="pt-BR"/>
              </w:rPr>
              <w:t xml:space="preserve">apresenta um questionário que orienta os usuários na avaliação qualitativa técnica </w:t>
            </w:r>
            <w:r>
              <w:rPr>
                <w:rFonts w:ascii="Avenir Next" w:hAnsi="Avenir Next"/>
                <w:color w:val="FFFFFF" w:themeColor="background1"/>
                <w:sz w:val="20"/>
                <w:szCs w:val="20"/>
                <w:lang w:val="pt-BR"/>
              </w:rPr>
              <w:t>de suas abordagens participativas</w:t>
            </w:r>
            <w:r w:rsidR="001851DC">
              <w:rPr>
                <w:rFonts w:ascii="Avenir Next" w:hAnsi="Avenir Next"/>
                <w:color w:val="FFFFFF" w:themeColor="background1"/>
                <w:sz w:val="20"/>
                <w:szCs w:val="20"/>
                <w:lang w:val="pt-BR"/>
              </w:rPr>
              <w:t>.</w:t>
            </w:r>
          </w:p>
          <w:p w14:paraId="22AFDAFA" w14:textId="46244847" w:rsidR="00570DB1" w:rsidRPr="006A1607" w:rsidRDefault="00E7223A" w:rsidP="00E7223A">
            <w:pPr>
              <w:pStyle w:val="ListParagraph"/>
              <w:numPr>
                <w:ilvl w:val="0"/>
                <w:numId w:val="13"/>
              </w:numPr>
              <w:spacing w:before="120" w:after="120" w:line="336" w:lineRule="auto"/>
              <w:rPr>
                <w:rFonts w:ascii="Avenir Next" w:eastAsia="IBM Plex Sans" w:hAnsi="Avenir Next" w:cs="IBM Plex Sans"/>
                <w:color w:val="FFFFFF"/>
                <w:sz w:val="20"/>
                <w:szCs w:val="20"/>
                <w:lang w:val="pt-BR"/>
              </w:rPr>
            </w:pPr>
            <w:r w:rsidRPr="009E1107">
              <w:rPr>
                <w:rFonts w:ascii="Avenir Next" w:eastAsia="IBM Plex Sans" w:hAnsi="Avenir Next" w:cs="IBM Plex Sans"/>
                <w:b/>
                <w:bCs/>
                <w:color w:val="FFFFFF" w:themeColor="background1"/>
                <w:sz w:val="20"/>
                <w:szCs w:val="20"/>
                <w:lang w:val="pt-BR"/>
              </w:rPr>
              <w:t>Parte B:</w:t>
            </w:r>
            <w:r w:rsidRPr="009E1107">
              <w:rPr>
                <w:rFonts w:ascii="Avenir Next" w:eastAsia="IBM Plex Sans" w:hAnsi="Avenir Next" w:cs="IBM Plex Sans"/>
                <w:color w:val="FFFFFF" w:themeColor="background1"/>
                <w:sz w:val="20"/>
                <w:szCs w:val="20"/>
                <w:lang w:val="pt-BR"/>
              </w:rPr>
              <w:t xml:space="preserve"> </w:t>
            </w:r>
            <w:r w:rsidRPr="009E1107">
              <w:rPr>
                <w:rFonts w:ascii="Avenir Next" w:hAnsi="Avenir Next"/>
                <w:color w:val="FFFFFF" w:themeColor="background1"/>
                <w:sz w:val="20"/>
                <w:szCs w:val="20"/>
                <w:lang w:val="pt-BR"/>
              </w:rPr>
              <w:t>apresenta um modelo de relatório que deve ser preenchido com base nos resultados da Parte 'A' e informará o desenvolvimento do roteiro J-REDD+ (Ferramenta 8).</w:t>
            </w:r>
          </w:p>
        </w:tc>
      </w:tr>
    </w:tbl>
    <w:p w14:paraId="5BF201B6" w14:textId="77777777" w:rsidR="003A7D40" w:rsidRPr="006A1607" w:rsidRDefault="003A7D40" w:rsidP="003A7D40">
      <w:pPr>
        <w:spacing w:before="120" w:after="120" w:line="336" w:lineRule="auto"/>
        <w:rPr>
          <w:rFonts w:ascii="Bodoni 72 Book" w:eastAsia="Montserrat" w:hAnsi="Bodoni 72 Book" w:cs="Montserrat"/>
          <w:color w:val="5A6C81"/>
          <w:sz w:val="64"/>
          <w:szCs w:val="64"/>
          <w:lang w:val="pt-BR"/>
        </w:rPr>
      </w:pPr>
    </w:p>
    <w:p w14:paraId="089A2F1E" w14:textId="77777777" w:rsidR="003A7D40" w:rsidRPr="006A1607" w:rsidRDefault="003A7D40" w:rsidP="003A7D40">
      <w:pPr>
        <w:spacing w:before="120" w:after="120" w:line="336" w:lineRule="auto"/>
        <w:rPr>
          <w:rFonts w:ascii="Bodoni 72 Book" w:eastAsia="Montserrat" w:hAnsi="Bodoni 72 Book" w:cs="Montserrat"/>
          <w:color w:val="5A6C81"/>
          <w:sz w:val="64"/>
          <w:szCs w:val="64"/>
          <w:lang w:val="pt-BR"/>
        </w:rPr>
      </w:pPr>
    </w:p>
    <w:p w14:paraId="26AA6CFA" w14:textId="77777777" w:rsidR="003A7D40" w:rsidRPr="006A1607" w:rsidRDefault="003A7D40" w:rsidP="003A7D40">
      <w:pPr>
        <w:spacing w:before="120" w:after="120" w:line="336" w:lineRule="auto"/>
        <w:rPr>
          <w:rFonts w:ascii="Bodoni 72 Book" w:eastAsia="Montserrat" w:hAnsi="Bodoni 72 Book" w:cs="Montserrat"/>
          <w:color w:val="5A6C81"/>
          <w:sz w:val="64"/>
          <w:szCs w:val="64"/>
          <w:lang w:val="pt-BR"/>
        </w:rPr>
      </w:pPr>
    </w:p>
    <w:p w14:paraId="336B1D00" w14:textId="77777777" w:rsidR="003A7D40" w:rsidRPr="006A1607" w:rsidRDefault="003A7D40" w:rsidP="003A7D40">
      <w:pPr>
        <w:spacing w:before="120" w:after="120" w:line="336" w:lineRule="auto"/>
        <w:rPr>
          <w:rFonts w:ascii="Bodoni 72 Book" w:eastAsia="Montserrat" w:hAnsi="Bodoni 72 Book" w:cs="Montserrat"/>
          <w:color w:val="5A6C81"/>
          <w:sz w:val="64"/>
          <w:szCs w:val="64"/>
          <w:lang w:val="pt-BR"/>
        </w:rPr>
      </w:pPr>
    </w:p>
    <w:p w14:paraId="6EAA571A" w14:textId="77777777" w:rsidR="003A7D40" w:rsidRPr="006A1607" w:rsidRDefault="003A7D40" w:rsidP="003A7D40">
      <w:pPr>
        <w:spacing w:before="120" w:after="120" w:line="336" w:lineRule="auto"/>
        <w:rPr>
          <w:rFonts w:ascii="Bodoni 72 Book" w:eastAsia="Montserrat" w:hAnsi="Bodoni 72 Book" w:cs="Montserrat"/>
          <w:color w:val="5A6C81"/>
          <w:sz w:val="64"/>
          <w:szCs w:val="64"/>
          <w:lang w:val="pt-BR"/>
        </w:rPr>
      </w:pPr>
    </w:p>
    <w:p w14:paraId="7E26D5BE" w14:textId="77777777" w:rsidR="003A7D40" w:rsidRPr="006A1607" w:rsidRDefault="003A7D40" w:rsidP="003A7D40">
      <w:pPr>
        <w:spacing w:before="120" w:after="120" w:line="336" w:lineRule="auto"/>
        <w:rPr>
          <w:rFonts w:ascii="Bodoni 72 Book" w:eastAsia="Montserrat" w:hAnsi="Bodoni 72 Book" w:cs="Montserrat"/>
          <w:color w:val="5A6C81"/>
          <w:sz w:val="64"/>
          <w:szCs w:val="64"/>
          <w:lang w:val="pt-BR"/>
        </w:rPr>
      </w:pPr>
    </w:p>
    <w:p w14:paraId="42CF60C5" w14:textId="77777777" w:rsidR="003A7D40" w:rsidRPr="006A1607" w:rsidRDefault="003A7D40" w:rsidP="003A7D40">
      <w:pPr>
        <w:spacing w:before="120" w:after="120" w:line="336" w:lineRule="auto"/>
        <w:rPr>
          <w:rFonts w:ascii="Bodoni 72 Book" w:eastAsia="Montserrat" w:hAnsi="Bodoni 72 Book" w:cs="Montserrat"/>
          <w:color w:val="5A6C81"/>
          <w:sz w:val="64"/>
          <w:szCs w:val="64"/>
          <w:lang w:val="pt-BR"/>
        </w:rPr>
      </w:pPr>
    </w:p>
    <w:p w14:paraId="722DABDF" w14:textId="77777777" w:rsidR="003A7D40" w:rsidRPr="006A1607" w:rsidRDefault="003A7D40" w:rsidP="003A7D40">
      <w:pPr>
        <w:spacing w:before="120" w:after="120" w:line="336" w:lineRule="auto"/>
        <w:rPr>
          <w:rFonts w:ascii="Bodoni 72 Book" w:eastAsia="Montserrat" w:hAnsi="Bodoni 72 Book" w:cs="Montserrat"/>
          <w:color w:val="5A6C81"/>
          <w:sz w:val="64"/>
          <w:szCs w:val="64"/>
          <w:lang w:val="pt-BR"/>
        </w:rPr>
      </w:pPr>
    </w:p>
    <w:p w14:paraId="46DFCE9B" w14:textId="7440DFB7" w:rsidR="003A7D40" w:rsidRPr="006A1607" w:rsidRDefault="00E7223A" w:rsidP="003A7D40">
      <w:pPr>
        <w:spacing w:before="120" w:after="120" w:line="336" w:lineRule="auto"/>
        <w:rPr>
          <w:rFonts w:ascii="Bodoni 72 Book" w:eastAsia="Montserrat" w:hAnsi="Bodoni 72 Book" w:cs="Montserrat"/>
          <w:color w:val="5A6C81"/>
          <w:sz w:val="64"/>
          <w:szCs w:val="64"/>
          <w:lang w:val="pt-BR"/>
        </w:rPr>
      </w:pPr>
      <w:r>
        <w:rPr>
          <w:rFonts w:ascii="Bodoni 72 Book" w:eastAsia="Montserrat" w:hAnsi="Bodoni 72 Book" w:cs="Montserrat"/>
          <w:color w:val="5A6C81"/>
          <w:sz w:val="64"/>
          <w:szCs w:val="64"/>
          <w:lang w:val="pt-BR"/>
        </w:rPr>
        <w:lastRenderedPageBreak/>
        <w:t>Parte</w:t>
      </w:r>
      <w:r w:rsidR="003A7D40" w:rsidRPr="006A1607">
        <w:rPr>
          <w:rFonts w:ascii="Bodoni 72 Book" w:eastAsia="Montserrat" w:hAnsi="Bodoni 72 Book" w:cs="Montserrat"/>
          <w:color w:val="5A6C81"/>
          <w:sz w:val="64"/>
          <w:szCs w:val="64"/>
          <w:lang w:val="pt-BR"/>
        </w:rPr>
        <w:t xml:space="preserve"> A - </w:t>
      </w:r>
      <w:r w:rsidRPr="006A1607">
        <w:rPr>
          <w:rFonts w:ascii="Bodoni 72 Book" w:eastAsia="Montserrat" w:hAnsi="Bodoni 72 Book" w:cs="Montserrat"/>
          <w:color w:val="5A6C81"/>
          <w:sz w:val="64"/>
          <w:szCs w:val="64"/>
          <w:lang w:val="pt-BR"/>
        </w:rPr>
        <w:t>Questionário</w:t>
      </w:r>
    </w:p>
    <w:p w14:paraId="76A32AC7" w14:textId="23752966" w:rsidR="003A7D40" w:rsidRDefault="00E7223A" w:rsidP="003A7D40">
      <w:pPr>
        <w:spacing w:before="120" w:after="120" w:line="336" w:lineRule="auto"/>
        <w:rPr>
          <w:rFonts w:ascii="Avenir Next" w:eastAsia="IBM Plex Sans" w:hAnsi="Avenir Next" w:cs="IBM Plex Sans"/>
          <w:color w:val="000000"/>
          <w:sz w:val="20"/>
          <w:szCs w:val="20"/>
          <w:lang w:val="pt-BR"/>
        </w:rPr>
      </w:pPr>
      <w:r w:rsidRPr="00E7223A">
        <w:rPr>
          <w:rFonts w:ascii="Avenir Next" w:eastAsia="IBM Plex Sans" w:hAnsi="Avenir Next" w:cs="IBM Plex Sans"/>
          <w:color w:val="000000"/>
          <w:sz w:val="20"/>
          <w:szCs w:val="20"/>
          <w:lang w:val="pt-BR"/>
        </w:rPr>
        <w:t>O questionário é estruturado em diferentes características que se correlacionam com as melhores práticas internacionais.</w:t>
      </w:r>
      <w:r w:rsidR="003A7D40" w:rsidRPr="006A1607">
        <w:rPr>
          <w:rFonts w:ascii="Avenir Next" w:eastAsia="IBM Plex Sans" w:hAnsi="Avenir Next" w:cs="IBM Plex Sans"/>
          <w:color w:val="000000"/>
          <w:sz w:val="20"/>
          <w:szCs w:val="20"/>
          <w:lang w:val="pt-BR"/>
        </w:rPr>
        <w:t xml:space="preserve"> </w:t>
      </w:r>
    </w:p>
    <w:p w14:paraId="25044662" w14:textId="77777777" w:rsidR="00E7223A" w:rsidRPr="005814EB" w:rsidRDefault="00E7223A" w:rsidP="00E7223A">
      <w:pPr>
        <w:spacing w:before="120" w:after="120" w:line="336" w:lineRule="auto"/>
        <w:rPr>
          <w:rFonts w:ascii="Avenir Next" w:eastAsia="IBM Plex Sans" w:hAnsi="Avenir Next" w:cs="IBM Plex Sans"/>
          <w:color w:val="000000"/>
          <w:sz w:val="20"/>
          <w:szCs w:val="20"/>
          <w:lang w:val="pt-BR"/>
        </w:rPr>
      </w:pPr>
      <w:r w:rsidRPr="005814EB">
        <w:rPr>
          <w:rFonts w:ascii="Avenir Next" w:eastAsia="IBM Plex Sans" w:hAnsi="Avenir Next" w:cs="IBM Plex Sans"/>
          <w:color w:val="000000"/>
          <w:sz w:val="20"/>
          <w:szCs w:val="20"/>
          <w:lang w:val="pt-BR"/>
        </w:rPr>
        <w:t>Para completar este questionário, os usuários devem considerar o escopo de cada coluna da seguinte forma:</w:t>
      </w:r>
    </w:p>
    <w:p w14:paraId="300CE4EF" w14:textId="73FFE4D2" w:rsidR="00E7223A" w:rsidRPr="00831B1E" w:rsidRDefault="00E7223A" w:rsidP="00E7223A">
      <w:pPr>
        <w:pStyle w:val="ListParagraph"/>
        <w:numPr>
          <w:ilvl w:val="0"/>
          <w:numId w:val="11"/>
        </w:numPr>
        <w:spacing w:before="120" w:after="120" w:line="336" w:lineRule="auto"/>
        <w:rPr>
          <w:rFonts w:ascii="Avenir Next" w:eastAsia="IBM Plex Sans" w:hAnsi="Avenir Next" w:cs="IBM Plex Sans"/>
          <w:color w:val="000000"/>
          <w:sz w:val="20"/>
          <w:szCs w:val="20"/>
          <w:lang w:val="pt-BR"/>
        </w:rPr>
      </w:pPr>
      <w:r w:rsidRPr="00831B1E">
        <w:rPr>
          <w:rFonts w:ascii="Avenir Next" w:eastAsia="IBM Plex Sans" w:hAnsi="Avenir Next" w:cs="IBM Plex Sans"/>
          <w:color w:val="000000"/>
          <w:sz w:val="20"/>
          <w:szCs w:val="20"/>
          <w:lang w:val="pt-BR"/>
        </w:rPr>
        <w:t xml:space="preserve">Perguntas: </w:t>
      </w:r>
      <w:r w:rsidRPr="00831B1E">
        <w:rPr>
          <w:rFonts w:ascii="Avenir Next" w:hAnsi="Avenir Next"/>
          <w:color w:val="000000"/>
          <w:sz w:val="20"/>
          <w:szCs w:val="20"/>
          <w:lang w:val="pt-BR"/>
        </w:rPr>
        <w:t>apresenta perguntas orientadoras para os usuários.</w:t>
      </w:r>
      <w:r>
        <w:rPr>
          <w:rFonts w:ascii="Avenir Next" w:hAnsi="Avenir Next"/>
          <w:color w:val="000000"/>
          <w:sz w:val="20"/>
          <w:szCs w:val="20"/>
          <w:lang w:val="pt-BR"/>
        </w:rPr>
        <w:t xml:space="preserve"> </w:t>
      </w:r>
      <w:r w:rsidRPr="00E7223A">
        <w:rPr>
          <w:rFonts w:ascii="Avenir Next" w:eastAsia="IBM Plex Sans" w:hAnsi="Avenir Next" w:cs="IBM Plex Sans"/>
          <w:color w:val="000000"/>
          <w:sz w:val="20"/>
          <w:szCs w:val="20"/>
          <w:lang w:val="pt-BR"/>
        </w:rPr>
        <w:t>Note que o uso do termo ‘equivalente’ se refere a um 'sistema de relatórios' subnacional</w:t>
      </w:r>
    </w:p>
    <w:p w14:paraId="79B77BAA" w14:textId="77777777" w:rsidR="00E7223A" w:rsidRPr="00831B1E" w:rsidRDefault="00E7223A" w:rsidP="00E7223A">
      <w:pPr>
        <w:pStyle w:val="ListParagraph"/>
        <w:numPr>
          <w:ilvl w:val="0"/>
          <w:numId w:val="11"/>
        </w:numPr>
        <w:spacing w:before="120" w:after="120" w:line="336" w:lineRule="auto"/>
        <w:rPr>
          <w:rFonts w:ascii="Avenir Next" w:eastAsia="IBM Plex Sans" w:hAnsi="Avenir Next" w:cs="IBM Plex Sans"/>
          <w:color w:val="000000"/>
          <w:sz w:val="20"/>
          <w:szCs w:val="20"/>
          <w:lang w:val="pt-BR"/>
        </w:rPr>
      </w:pPr>
      <w:r w:rsidRPr="00831B1E">
        <w:rPr>
          <w:rFonts w:ascii="Avenir Next" w:hAnsi="Avenir Next"/>
          <w:noProof/>
          <w:sz w:val="20"/>
          <w:szCs w:val="20"/>
          <w:lang w:val="pt-BR"/>
        </w:rPr>
        <w:drawing>
          <wp:anchor distT="0" distB="0" distL="114300" distR="114300" simplePos="0" relativeHeight="251660288" behindDoc="1" locked="0" layoutInCell="1" allowOverlap="1" wp14:anchorId="30BF608A" wp14:editId="38E76C52">
            <wp:simplePos x="0" y="0"/>
            <wp:positionH relativeFrom="column">
              <wp:posOffset>5080000</wp:posOffset>
            </wp:positionH>
            <wp:positionV relativeFrom="paragraph">
              <wp:posOffset>244879</wp:posOffset>
            </wp:positionV>
            <wp:extent cx="335915" cy="268605"/>
            <wp:effectExtent l="0" t="0" r="0" b="0"/>
            <wp:wrapSquare wrapText="bothSides"/>
            <wp:docPr id="19" name="Drawing 1" descr="f2129134-ddea-4724-8cc3-5f6403e83add.png"/>
            <wp:cNvGraphicFramePr/>
            <a:graphic xmlns:a="http://schemas.openxmlformats.org/drawingml/2006/main">
              <a:graphicData uri="http://schemas.openxmlformats.org/drawingml/2006/picture">
                <pic:pic xmlns:pic="http://schemas.openxmlformats.org/drawingml/2006/picture">
                  <pic:nvPicPr>
                    <pic:cNvPr id="0" name="Picture 1" descr="f2129134-ddea-4724-8cc3-5f6403e83add.pn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5915" cy="268605"/>
                    </a:xfrm>
                    <a:prstGeom prst="rect">
                      <a:avLst/>
                    </a:prstGeom>
                  </pic:spPr>
                </pic:pic>
              </a:graphicData>
            </a:graphic>
            <wp14:sizeRelH relativeFrom="page">
              <wp14:pctWidth>0</wp14:pctWidth>
            </wp14:sizeRelH>
            <wp14:sizeRelV relativeFrom="page">
              <wp14:pctHeight>0</wp14:pctHeight>
            </wp14:sizeRelV>
          </wp:anchor>
        </w:drawing>
      </w:r>
      <w:r w:rsidRPr="00831B1E">
        <w:rPr>
          <w:rFonts w:ascii="Avenir Next" w:eastAsia="IBM Plex Sans" w:hAnsi="Avenir Next" w:cs="IBM Plex Sans"/>
          <w:color w:val="000000"/>
          <w:sz w:val="20"/>
          <w:szCs w:val="20"/>
          <w:lang w:val="pt-BR"/>
        </w:rPr>
        <w:t>P</w:t>
      </w:r>
      <w:r w:rsidRPr="00831B1E">
        <w:rPr>
          <w:rFonts w:ascii="Avenir Next" w:hAnsi="Avenir Next"/>
          <w:color w:val="000000"/>
          <w:sz w:val="20"/>
          <w:szCs w:val="20"/>
          <w:lang w:val="pt-BR"/>
        </w:rPr>
        <w:t>ontuação: o seguinte guia de pontuação deve ser aplicado pelos usuários</w:t>
      </w:r>
    </w:p>
    <w:p w14:paraId="0F10169B" w14:textId="4872F42C" w:rsidR="00E7223A" w:rsidRPr="00831B1E" w:rsidRDefault="00E7223A" w:rsidP="00E7223A">
      <w:pPr>
        <w:pStyle w:val="ListParagraph"/>
        <w:numPr>
          <w:ilvl w:val="1"/>
          <w:numId w:val="11"/>
        </w:numPr>
        <w:spacing w:before="120" w:after="120" w:line="336" w:lineRule="auto"/>
        <w:rPr>
          <w:rFonts w:ascii="Avenir Next" w:eastAsia="IBM Plex Sans" w:hAnsi="Avenir Next" w:cs="IBM Plex Sans"/>
          <w:color w:val="000000"/>
          <w:sz w:val="20"/>
          <w:szCs w:val="20"/>
          <w:lang w:val="pt-BR"/>
        </w:rPr>
      </w:pPr>
      <w:r w:rsidRPr="00831B1E">
        <w:rPr>
          <w:rFonts w:ascii="Avenir Next" w:eastAsia="IBM Plex Sans" w:hAnsi="Avenir Next" w:cs="IBM Plex Sans"/>
          <w:b/>
          <w:bCs/>
          <w:color w:val="000000"/>
          <w:sz w:val="20"/>
          <w:szCs w:val="20"/>
          <w:lang w:val="pt-BR"/>
        </w:rPr>
        <w:t>Sim:</w:t>
      </w:r>
      <w:r w:rsidRPr="00831B1E">
        <w:rPr>
          <w:rFonts w:ascii="Avenir Next" w:eastAsia="IBM Plex Sans" w:hAnsi="Avenir Next" w:cs="IBM Plex Sans"/>
          <w:color w:val="000000"/>
          <w:sz w:val="20"/>
          <w:szCs w:val="20"/>
          <w:lang w:val="pt-BR"/>
        </w:rPr>
        <w:t xml:space="preserve"> </w:t>
      </w:r>
      <w:r w:rsidR="00DD3D5E">
        <w:rPr>
          <w:rFonts w:ascii="Avenir Next" w:eastAsia="IBM Plex Sans" w:hAnsi="Avenir Next" w:cs="IBM Plex Sans"/>
          <w:color w:val="000000"/>
          <w:sz w:val="20"/>
          <w:szCs w:val="20"/>
          <w:lang w:val="pt-BR"/>
        </w:rPr>
        <w:t xml:space="preserve">A abordagem </w:t>
      </w:r>
      <w:r w:rsidR="000B4DB3">
        <w:rPr>
          <w:rFonts w:ascii="Avenir Next" w:eastAsia="IBM Plex Sans" w:hAnsi="Avenir Next" w:cs="IBM Plex Sans"/>
          <w:color w:val="000000"/>
          <w:sz w:val="20"/>
          <w:szCs w:val="20"/>
          <w:lang w:val="pt-BR"/>
        </w:rPr>
        <w:t xml:space="preserve">participativa </w:t>
      </w:r>
      <w:r w:rsidR="000B4DB3" w:rsidRPr="009E1107">
        <w:rPr>
          <w:rFonts w:ascii="Avenir Next" w:eastAsia="IBM Plex Sans" w:hAnsi="Avenir Next" w:cs="IBM Plex Sans"/>
          <w:color w:val="000000"/>
          <w:sz w:val="20"/>
          <w:szCs w:val="20"/>
          <w:lang w:val="pt-BR"/>
        </w:rPr>
        <w:t>incorpora</w:t>
      </w:r>
      <w:r w:rsidRPr="00831B1E">
        <w:rPr>
          <w:rFonts w:ascii="Avenir Next" w:eastAsia="IBM Plex Sans" w:hAnsi="Avenir Next" w:cs="IBM Plex Sans"/>
          <w:color w:val="000000"/>
          <w:sz w:val="20"/>
          <w:szCs w:val="20"/>
          <w:lang w:val="pt-BR"/>
        </w:rPr>
        <w:t xml:space="preserve"> </w:t>
      </w:r>
      <w:r>
        <w:rPr>
          <w:rFonts w:ascii="Avenir Next" w:eastAsia="IBM Plex Sans" w:hAnsi="Avenir Next" w:cs="IBM Plex Sans"/>
          <w:color w:val="000000"/>
          <w:sz w:val="20"/>
          <w:szCs w:val="20"/>
          <w:lang w:val="pt-BR"/>
        </w:rPr>
        <w:t>este</w:t>
      </w:r>
      <w:r w:rsidRPr="00831B1E">
        <w:rPr>
          <w:rFonts w:ascii="Avenir Next" w:eastAsia="IBM Plex Sans" w:hAnsi="Avenir Next" w:cs="IBM Plex Sans"/>
          <w:color w:val="000000"/>
          <w:sz w:val="20"/>
          <w:szCs w:val="20"/>
          <w:lang w:val="pt-BR"/>
        </w:rPr>
        <w:t xml:space="preserve"> aspecto </w:t>
      </w:r>
      <w:r w:rsidR="000B4DB3">
        <w:rPr>
          <w:rFonts w:ascii="Avenir Next" w:eastAsia="IBM Plex Sans" w:hAnsi="Avenir Next" w:cs="IBM Plex Sans"/>
          <w:color w:val="000000"/>
          <w:sz w:val="20"/>
          <w:szCs w:val="20"/>
          <w:lang w:val="pt-BR"/>
        </w:rPr>
        <w:t>com</w:t>
      </w:r>
      <w:r w:rsidRPr="00831B1E">
        <w:rPr>
          <w:rFonts w:ascii="Avenir Next" w:eastAsia="IBM Plex Sans" w:hAnsi="Avenir Next" w:cs="IBM Plex Sans"/>
          <w:color w:val="000000"/>
          <w:sz w:val="20"/>
          <w:szCs w:val="20"/>
          <w:lang w:val="pt-BR"/>
        </w:rPr>
        <w:t xml:space="preserve"> conformidade </w:t>
      </w:r>
      <w:r w:rsidR="000B4DB3">
        <w:rPr>
          <w:rFonts w:ascii="Avenir Next" w:eastAsia="IBM Plex Sans" w:hAnsi="Avenir Next" w:cs="IBM Plex Sans"/>
          <w:color w:val="000000"/>
          <w:sz w:val="20"/>
          <w:szCs w:val="20"/>
          <w:lang w:val="pt-BR"/>
        </w:rPr>
        <w:t>a orientação relevante e/ou melhores</w:t>
      </w:r>
      <w:r w:rsidRPr="00831B1E">
        <w:rPr>
          <w:rFonts w:ascii="Avenir Next" w:eastAsia="IBM Plex Sans" w:hAnsi="Avenir Next" w:cs="IBM Plex Sans"/>
          <w:color w:val="000000"/>
          <w:sz w:val="20"/>
          <w:szCs w:val="20"/>
          <w:lang w:val="pt-BR"/>
        </w:rPr>
        <w:t xml:space="preserve"> </w:t>
      </w:r>
      <w:r w:rsidRPr="00951723">
        <w:rPr>
          <w:rFonts w:ascii="Avenir Next" w:eastAsia="IBM Plex Sans" w:hAnsi="Avenir Next" w:cs="IBM Plex Sans"/>
          <w:color w:val="000000"/>
          <w:sz w:val="20"/>
          <w:szCs w:val="20"/>
          <w:lang w:val="pt-BR"/>
        </w:rPr>
        <w:t>práticas</w:t>
      </w:r>
      <w:r w:rsidRPr="00831B1E">
        <w:rPr>
          <w:rFonts w:ascii="Avenir Next" w:eastAsia="IBM Plex Sans" w:hAnsi="Avenir Next" w:cs="IBM Plex Sans"/>
          <w:color w:val="000000"/>
          <w:sz w:val="20"/>
          <w:szCs w:val="20"/>
          <w:lang w:val="pt-BR"/>
        </w:rPr>
        <w:t xml:space="preserve">  </w:t>
      </w:r>
    </w:p>
    <w:p w14:paraId="773FF6B9" w14:textId="7D258FCF" w:rsidR="00E7223A" w:rsidRPr="00831B1E" w:rsidRDefault="00E7223A" w:rsidP="00E7223A">
      <w:pPr>
        <w:pStyle w:val="ListParagraph"/>
        <w:numPr>
          <w:ilvl w:val="1"/>
          <w:numId w:val="11"/>
        </w:numPr>
        <w:spacing w:before="120" w:after="120" w:line="336" w:lineRule="auto"/>
        <w:rPr>
          <w:rFonts w:ascii="Avenir Next" w:eastAsia="IBM Plex Sans" w:hAnsi="Avenir Next" w:cs="IBM Plex Sans"/>
          <w:color w:val="000000"/>
          <w:sz w:val="20"/>
          <w:szCs w:val="20"/>
          <w:lang w:val="pt-BR"/>
        </w:rPr>
      </w:pPr>
      <w:r w:rsidRPr="00831B1E">
        <w:rPr>
          <w:rFonts w:ascii="Avenir Next" w:eastAsia="IBM Plex Sans" w:hAnsi="Avenir Next" w:cs="IBM Plex Sans"/>
          <w:b/>
          <w:bCs/>
          <w:color w:val="000000"/>
          <w:sz w:val="20"/>
          <w:szCs w:val="20"/>
          <w:lang w:val="pt-BR"/>
        </w:rPr>
        <w:t xml:space="preserve"> Parcialmente:</w:t>
      </w:r>
      <w:r w:rsidRPr="00831B1E">
        <w:rPr>
          <w:rFonts w:ascii="Avenir Next" w:eastAsia="IBM Plex Sans" w:hAnsi="Avenir Next" w:cs="IBM Plex Sans"/>
          <w:color w:val="000000"/>
          <w:sz w:val="20"/>
          <w:szCs w:val="20"/>
          <w:lang w:val="pt-BR"/>
        </w:rPr>
        <w:t xml:space="preserve"> </w:t>
      </w:r>
      <w:r w:rsidR="000B4DB3">
        <w:rPr>
          <w:rFonts w:ascii="Avenir Next" w:eastAsia="IBM Plex Sans" w:hAnsi="Avenir Next" w:cs="IBM Plex Sans"/>
          <w:color w:val="000000"/>
          <w:sz w:val="20"/>
          <w:szCs w:val="20"/>
          <w:lang w:val="pt-BR"/>
        </w:rPr>
        <w:t xml:space="preserve">A abordagem participativa </w:t>
      </w:r>
      <w:r w:rsidR="000B4DB3" w:rsidRPr="009E1107">
        <w:rPr>
          <w:rFonts w:ascii="Avenir Next" w:eastAsia="IBM Plex Sans" w:hAnsi="Avenir Next" w:cs="IBM Plex Sans"/>
          <w:color w:val="000000"/>
          <w:sz w:val="20"/>
          <w:szCs w:val="20"/>
          <w:lang w:val="pt-BR"/>
        </w:rPr>
        <w:t>incorpora</w:t>
      </w:r>
      <w:r w:rsidRPr="00831B1E">
        <w:rPr>
          <w:rFonts w:ascii="Avenir Next" w:eastAsia="IBM Plex Sans" w:hAnsi="Avenir Next" w:cs="IBM Plex Sans"/>
          <w:color w:val="000000"/>
          <w:sz w:val="20"/>
          <w:szCs w:val="20"/>
          <w:lang w:val="pt-BR"/>
        </w:rPr>
        <w:t xml:space="preserve"> parcialmente este aspecto</w:t>
      </w:r>
      <w:r w:rsidR="000B4DB3">
        <w:rPr>
          <w:rFonts w:ascii="Avenir Next" w:eastAsia="IBM Plex Sans" w:hAnsi="Avenir Next" w:cs="IBM Plex Sans"/>
          <w:color w:val="000000"/>
          <w:sz w:val="20"/>
          <w:szCs w:val="20"/>
          <w:lang w:val="pt-BR"/>
        </w:rPr>
        <w:t xml:space="preserve"> com</w:t>
      </w:r>
      <w:r w:rsidR="000B4DB3" w:rsidRPr="00831B1E">
        <w:rPr>
          <w:rFonts w:ascii="Avenir Next" w:eastAsia="IBM Plex Sans" w:hAnsi="Avenir Next" w:cs="IBM Plex Sans"/>
          <w:color w:val="000000"/>
          <w:sz w:val="20"/>
          <w:szCs w:val="20"/>
          <w:lang w:val="pt-BR"/>
        </w:rPr>
        <w:t xml:space="preserve"> conformidade </w:t>
      </w:r>
      <w:r w:rsidR="000B4DB3">
        <w:rPr>
          <w:rFonts w:ascii="Avenir Next" w:eastAsia="IBM Plex Sans" w:hAnsi="Avenir Next" w:cs="IBM Plex Sans"/>
          <w:color w:val="000000"/>
          <w:sz w:val="20"/>
          <w:szCs w:val="20"/>
          <w:lang w:val="pt-BR"/>
        </w:rPr>
        <w:t>a orientação relevante e/ou melhores</w:t>
      </w:r>
      <w:r w:rsidR="000B4DB3" w:rsidRPr="00831B1E">
        <w:rPr>
          <w:rFonts w:ascii="Avenir Next" w:eastAsia="IBM Plex Sans" w:hAnsi="Avenir Next" w:cs="IBM Plex Sans"/>
          <w:color w:val="000000"/>
          <w:sz w:val="20"/>
          <w:szCs w:val="20"/>
          <w:lang w:val="pt-BR"/>
        </w:rPr>
        <w:t xml:space="preserve"> </w:t>
      </w:r>
      <w:r w:rsidR="000B4DB3" w:rsidRPr="00951723">
        <w:rPr>
          <w:rFonts w:ascii="Avenir Next" w:eastAsia="IBM Plex Sans" w:hAnsi="Avenir Next" w:cs="IBM Plex Sans"/>
          <w:color w:val="000000"/>
          <w:sz w:val="20"/>
          <w:szCs w:val="20"/>
          <w:lang w:val="pt-BR"/>
        </w:rPr>
        <w:t>prática</w:t>
      </w:r>
      <w:r w:rsidR="000B4DB3">
        <w:rPr>
          <w:rFonts w:ascii="Avenir Next" w:eastAsia="IBM Plex Sans" w:hAnsi="Avenir Next" w:cs="IBM Plex Sans"/>
          <w:color w:val="000000"/>
          <w:sz w:val="20"/>
          <w:szCs w:val="20"/>
          <w:lang w:val="pt-BR"/>
        </w:rPr>
        <w:t>s</w:t>
      </w:r>
      <w:r w:rsidRPr="00831B1E">
        <w:rPr>
          <w:rFonts w:ascii="Avenir Next" w:eastAsia="IBM Plex Sans" w:hAnsi="Avenir Next" w:cs="IBM Plex Sans"/>
          <w:color w:val="000000"/>
          <w:sz w:val="20"/>
          <w:szCs w:val="20"/>
          <w:lang w:val="pt-BR"/>
        </w:rPr>
        <w:t>, porém existem algumas lacunas que precisam ser abordadas.</w:t>
      </w:r>
    </w:p>
    <w:p w14:paraId="6BE8FCCF" w14:textId="73846118" w:rsidR="00E7223A" w:rsidRPr="00831B1E" w:rsidRDefault="00E7223A" w:rsidP="00E7223A">
      <w:pPr>
        <w:pStyle w:val="ListParagraph"/>
        <w:numPr>
          <w:ilvl w:val="1"/>
          <w:numId w:val="11"/>
        </w:numPr>
        <w:spacing w:before="120" w:after="120" w:line="336" w:lineRule="auto"/>
        <w:rPr>
          <w:rFonts w:ascii="Avenir Next" w:eastAsia="IBM Plex Sans" w:hAnsi="Avenir Next" w:cs="IBM Plex Sans"/>
          <w:color w:val="000000"/>
          <w:sz w:val="20"/>
          <w:szCs w:val="20"/>
          <w:lang w:val="pt-BR"/>
        </w:rPr>
      </w:pPr>
      <w:r w:rsidRPr="00831B1E">
        <w:rPr>
          <w:b/>
          <w:bCs/>
          <w:noProof/>
          <w:lang w:val="pt-BR"/>
        </w:rPr>
        <w:drawing>
          <wp:anchor distT="0" distB="0" distL="114300" distR="114300" simplePos="0" relativeHeight="251661312" behindDoc="0" locked="0" layoutInCell="1" allowOverlap="1" wp14:anchorId="213345A1" wp14:editId="458230F4">
            <wp:simplePos x="0" y="0"/>
            <wp:positionH relativeFrom="column">
              <wp:posOffset>5135418</wp:posOffset>
            </wp:positionH>
            <wp:positionV relativeFrom="paragraph">
              <wp:posOffset>226406</wp:posOffset>
            </wp:positionV>
            <wp:extent cx="322580" cy="281940"/>
            <wp:effectExtent l="0" t="0" r="0" b="0"/>
            <wp:wrapSquare wrapText="bothSides"/>
            <wp:docPr id="20" name="Drawing 2" descr="581de573-096f-4890-afa8-efcc489609f0.png"/>
            <wp:cNvGraphicFramePr/>
            <a:graphic xmlns:a="http://schemas.openxmlformats.org/drawingml/2006/main">
              <a:graphicData uri="http://schemas.openxmlformats.org/drawingml/2006/picture">
                <pic:pic xmlns:pic="http://schemas.openxmlformats.org/drawingml/2006/picture">
                  <pic:nvPicPr>
                    <pic:cNvPr id="0" name="Picture 2" descr="581de573-096f-4890-afa8-efcc489609f0.pn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580" cy="281940"/>
                    </a:xfrm>
                    <a:prstGeom prst="rect">
                      <a:avLst/>
                    </a:prstGeom>
                  </pic:spPr>
                </pic:pic>
              </a:graphicData>
            </a:graphic>
            <wp14:sizeRelH relativeFrom="page">
              <wp14:pctWidth>0</wp14:pctWidth>
            </wp14:sizeRelH>
            <wp14:sizeRelV relativeFrom="page">
              <wp14:pctHeight>0</wp14:pctHeight>
            </wp14:sizeRelV>
          </wp:anchor>
        </w:drawing>
      </w:r>
      <w:r w:rsidRPr="00831B1E">
        <w:rPr>
          <w:rFonts w:ascii="Avenir Next" w:eastAsia="IBM Plex Sans" w:hAnsi="Avenir Next" w:cs="IBM Plex Sans"/>
          <w:b/>
          <w:bCs/>
          <w:color w:val="000000"/>
          <w:sz w:val="20"/>
          <w:szCs w:val="20"/>
          <w:lang w:val="pt-BR"/>
        </w:rPr>
        <w:t>Não:</w:t>
      </w:r>
      <w:r w:rsidRPr="00831B1E">
        <w:rPr>
          <w:rFonts w:ascii="Avenir Next" w:eastAsia="IBM Plex Sans" w:hAnsi="Avenir Next" w:cs="IBM Plex Sans"/>
          <w:color w:val="000000"/>
          <w:sz w:val="20"/>
          <w:szCs w:val="20"/>
          <w:lang w:val="pt-BR"/>
        </w:rPr>
        <w:t xml:space="preserve"> </w:t>
      </w:r>
      <w:r w:rsidR="000B4DB3">
        <w:rPr>
          <w:rFonts w:ascii="Avenir Next" w:eastAsia="IBM Plex Sans" w:hAnsi="Avenir Next" w:cs="IBM Plex Sans"/>
          <w:color w:val="000000"/>
          <w:sz w:val="20"/>
          <w:szCs w:val="20"/>
          <w:lang w:val="pt-BR"/>
        </w:rPr>
        <w:t>A abordagem participativa</w:t>
      </w:r>
      <w:r w:rsidR="000B4DB3" w:rsidRPr="00831B1E">
        <w:rPr>
          <w:rFonts w:ascii="Avenir Next" w:eastAsia="IBM Plex Sans" w:hAnsi="Avenir Next" w:cs="IBM Plex Sans"/>
          <w:color w:val="000000"/>
          <w:sz w:val="20"/>
          <w:szCs w:val="20"/>
          <w:lang w:val="pt-BR"/>
        </w:rPr>
        <w:t xml:space="preserve"> </w:t>
      </w:r>
      <w:r w:rsidRPr="00831B1E">
        <w:rPr>
          <w:rFonts w:ascii="Avenir Next" w:eastAsia="IBM Plex Sans" w:hAnsi="Avenir Next" w:cs="IBM Plex Sans"/>
          <w:color w:val="000000"/>
          <w:sz w:val="20"/>
          <w:szCs w:val="20"/>
          <w:lang w:val="pt-BR"/>
        </w:rPr>
        <w:t xml:space="preserve">não incorpora este aspecto </w:t>
      </w:r>
      <w:r w:rsidR="000B4DB3">
        <w:rPr>
          <w:rFonts w:ascii="Avenir Next" w:eastAsia="IBM Plex Sans" w:hAnsi="Avenir Next" w:cs="IBM Plex Sans"/>
          <w:color w:val="000000"/>
          <w:sz w:val="20"/>
          <w:szCs w:val="20"/>
          <w:lang w:val="pt-BR"/>
        </w:rPr>
        <w:t>com</w:t>
      </w:r>
      <w:r w:rsidR="000B4DB3" w:rsidRPr="00831B1E">
        <w:rPr>
          <w:rFonts w:ascii="Avenir Next" w:eastAsia="IBM Plex Sans" w:hAnsi="Avenir Next" w:cs="IBM Plex Sans"/>
          <w:color w:val="000000"/>
          <w:sz w:val="20"/>
          <w:szCs w:val="20"/>
          <w:lang w:val="pt-BR"/>
        </w:rPr>
        <w:t xml:space="preserve"> conformidade </w:t>
      </w:r>
      <w:r w:rsidR="000B4DB3">
        <w:rPr>
          <w:rFonts w:ascii="Avenir Next" w:eastAsia="IBM Plex Sans" w:hAnsi="Avenir Next" w:cs="IBM Plex Sans"/>
          <w:color w:val="000000"/>
          <w:sz w:val="20"/>
          <w:szCs w:val="20"/>
          <w:lang w:val="pt-BR"/>
        </w:rPr>
        <w:t>a orientação relevante e/ou melhores</w:t>
      </w:r>
      <w:r w:rsidR="000B4DB3" w:rsidRPr="00831B1E">
        <w:rPr>
          <w:rFonts w:ascii="Avenir Next" w:eastAsia="IBM Plex Sans" w:hAnsi="Avenir Next" w:cs="IBM Plex Sans"/>
          <w:color w:val="000000"/>
          <w:sz w:val="20"/>
          <w:szCs w:val="20"/>
          <w:lang w:val="pt-BR"/>
        </w:rPr>
        <w:t xml:space="preserve"> </w:t>
      </w:r>
      <w:r w:rsidR="000B4DB3" w:rsidRPr="00951723">
        <w:rPr>
          <w:rFonts w:ascii="Avenir Next" w:eastAsia="IBM Plex Sans" w:hAnsi="Avenir Next" w:cs="IBM Plex Sans"/>
          <w:color w:val="000000"/>
          <w:sz w:val="20"/>
          <w:szCs w:val="20"/>
          <w:lang w:val="pt-BR"/>
        </w:rPr>
        <w:t>prática</w:t>
      </w:r>
      <w:r w:rsidR="000B4DB3">
        <w:rPr>
          <w:rFonts w:ascii="Avenir Next" w:eastAsia="IBM Plex Sans" w:hAnsi="Avenir Next" w:cs="IBM Plex Sans"/>
          <w:color w:val="000000"/>
          <w:sz w:val="20"/>
          <w:szCs w:val="20"/>
          <w:lang w:val="pt-BR"/>
        </w:rPr>
        <w:t>s</w:t>
      </w:r>
      <w:r w:rsidRPr="00831B1E">
        <w:rPr>
          <w:rFonts w:ascii="Avenir Next" w:eastAsia="IBM Plex Sans" w:hAnsi="Avenir Next" w:cs="IBM Plex Sans"/>
          <w:color w:val="000000"/>
          <w:sz w:val="20"/>
          <w:szCs w:val="20"/>
          <w:lang w:val="pt-BR"/>
        </w:rPr>
        <w:t xml:space="preserve">, e existem lacunas notáveis que precisam ser abordadas para garantir plena conformidade. </w:t>
      </w:r>
    </w:p>
    <w:p w14:paraId="643776BA" w14:textId="77777777" w:rsidR="00E7223A" w:rsidRPr="00831B1E" w:rsidRDefault="00E7223A" w:rsidP="00E7223A">
      <w:pPr>
        <w:pStyle w:val="ListParagraph"/>
        <w:numPr>
          <w:ilvl w:val="0"/>
          <w:numId w:val="11"/>
        </w:numPr>
        <w:spacing w:before="120" w:after="120" w:line="336" w:lineRule="auto"/>
        <w:rPr>
          <w:rFonts w:ascii="Avenir Next" w:eastAsia="IBM Plex Sans" w:hAnsi="Avenir Next" w:cs="IBM Plex Sans"/>
          <w:color w:val="000000"/>
          <w:sz w:val="20"/>
          <w:szCs w:val="20"/>
          <w:lang w:val="pt-BR"/>
        </w:rPr>
      </w:pPr>
      <w:r w:rsidRPr="00831B1E">
        <w:rPr>
          <w:rFonts w:ascii="Avenir Next" w:hAnsi="Avenir Next"/>
          <w:color w:val="000000"/>
          <w:sz w:val="20"/>
          <w:szCs w:val="20"/>
          <w:lang w:val="pt-BR"/>
        </w:rPr>
        <w:t>Constatações: uma oportunidade para os usuários oferecerem informações e/ou esclarecimentos em relação à sua pontuação.</w:t>
      </w:r>
    </w:p>
    <w:p w14:paraId="2D8EA82E" w14:textId="786B5555" w:rsidR="00570DB1" w:rsidRPr="00E7223A" w:rsidRDefault="00E7223A" w:rsidP="00E7223A">
      <w:pPr>
        <w:pStyle w:val="ListParagraph"/>
        <w:numPr>
          <w:ilvl w:val="0"/>
          <w:numId w:val="11"/>
        </w:numPr>
        <w:spacing w:before="120" w:after="120" w:line="336" w:lineRule="auto"/>
        <w:rPr>
          <w:rFonts w:ascii="Avenir Next" w:eastAsia="IBM Plex Sans" w:hAnsi="Avenir Next" w:cs="IBM Plex Sans"/>
          <w:color w:val="000000"/>
          <w:sz w:val="20"/>
          <w:szCs w:val="20"/>
          <w:lang w:val="pt-BR"/>
        </w:rPr>
      </w:pPr>
      <w:r w:rsidRPr="00831B1E">
        <w:rPr>
          <w:rFonts w:ascii="Avenir Next" w:hAnsi="Avenir Next"/>
          <w:color w:val="000000"/>
          <w:sz w:val="20"/>
          <w:szCs w:val="20"/>
          <w:lang w:val="pt-BR"/>
        </w:rPr>
        <w:t>Meios de verificação: os usuários devem identificar qualquer documentação usada para apoiar sua pontuação, incluindo hiperlinks com informações adiciona</w:t>
      </w:r>
      <w:r>
        <w:rPr>
          <w:rFonts w:ascii="Avenir Next" w:hAnsi="Avenir Next"/>
          <w:color w:val="000000"/>
          <w:sz w:val="20"/>
          <w:szCs w:val="20"/>
          <w:lang w:val="pt-BR"/>
        </w:rPr>
        <w:t>is</w:t>
      </w:r>
      <w:r w:rsidRPr="002F04EB">
        <w:rPr>
          <w:rFonts w:ascii="Avenir Next" w:eastAsia="IBM Plex Sans" w:hAnsi="Avenir Next" w:cs="IBM Plex Sans"/>
          <w:color w:val="000000"/>
          <w:sz w:val="20"/>
          <w:szCs w:val="20"/>
          <w:lang w:val="pt-BR"/>
        </w:rPr>
        <w:t>.</w:t>
      </w:r>
    </w:p>
    <w:p w14:paraId="2A322851" w14:textId="77777777" w:rsidR="003A7D40" w:rsidRPr="006A1607" w:rsidRDefault="003A7D40">
      <w:pPr>
        <w:spacing w:before="120" w:after="120" w:line="336" w:lineRule="auto"/>
        <w:rPr>
          <w:rFonts w:ascii="Montserrat" w:eastAsia="Montserrat" w:hAnsi="Montserrat" w:cs="Montserrat"/>
          <w:color w:val="5B6C81"/>
          <w:sz w:val="64"/>
          <w:szCs w:val="64"/>
          <w:lang w:val="pt-BR"/>
        </w:rPr>
      </w:pPr>
    </w:p>
    <w:p w14:paraId="279A0AC9" w14:textId="77777777" w:rsidR="003A7D40" w:rsidRPr="006A1607" w:rsidRDefault="003A7D40">
      <w:pPr>
        <w:spacing w:before="120" w:after="120" w:line="336" w:lineRule="auto"/>
        <w:rPr>
          <w:rFonts w:ascii="Montserrat" w:eastAsia="Montserrat" w:hAnsi="Montserrat" w:cs="Montserrat"/>
          <w:color w:val="5B6C81"/>
          <w:sz w:val="64"/>
          <w:szCs w:val="64"/>
          <w:lang w:val="pt-BR"/>
        </w:rPr>
      </w:pPr>
    </w:p>
    <w:p w14:paraId="4E286FEE" w14:textId="77777777" w:rsidR="003A7D40" w:rsidRPr="006A1607" w:rsidRDefault="003A7D40">
      <w:pPr>
        <w:spacing w:before="120" w:after="120" w:line="336" w:lineRule="auto"/>
        <w:rPr>
          <w:rFonts w:ascii="Montserrat" w:eastAsia="Montserrat" w:hAnsi="Montserrat" w:cs="Montserrat"/>
          <w:color w:val="5B6C81"/>
          <w:sz w:val="64"/>
          <w:szCs w:val="64"/>
          <w:lang w:val="pt-BR"/>
        </w:rPr>
        <w:sectPr w:rsidR="003A7D40" w:rsidRPr="006A1607" w:rsidSect="007629B8">
          <w:pgSz w:w="11910" w:h="16845"/>
          <w:pgMar w:top="1440" w:right="1440" w:bottom="1440" w:left="1440" w:header="720" w:footer="720" w:gutter="0"/>
          <w:cols w:space="720"/>
        </w:sectPr>
      </w:pPr>
    </w:p>
    <w:p w14:paraId="54D6B1CB" w14:textId="681AE4D3" w:rsidR="00570DB1" w:rsidRPr="006A1607" w:rsidRDefault="000B4DB3">
      <w:pPr>
        <w:spacing w:before="120" w:after="120" w:line="336" w:lineRule="auto"/>
        <w:rPr>
          <w:lang w:val="pt-BR"/>
        </w:rPr>
      </w:pPr>
      <w:r w:rsidRPr="006A1607">
        <w:rPr>
          <w:rFonts w:ascii="Bodoni 72 Book" w:eastAsia="Montserrat" w:hAnsi="Bodoni 72 Book" w:cs="Montserrat"/>
          <w:color w:val="5A6C81"/>
          <w:sz w:val="64"/>
          <w:szCs w:val="64"/>
          <w:lang w:val="pt-BR"/>
        </w:rPr>
        <w:lastRenderedPageBreak/>
        <w:t>Questionário</w:t>
      </w:r>
      <w:r w:rsidR="003A7D40" w:rsidRPr="006A1607">
        <w:rPr>
          <w:rFonts w:ascii="Montserrat" w:eastAsia="Montserrat" w:hAnsi="Montserrat" w:cs="Montserrat"/>
          <w:color w:val="5B6C81"/>
          <w:sz w:val="64"/>
          <w:szCs w:val="64"/>
          <w:lang w:val="pt-BR"/>
        </w:rPr>
        <w:t xml:space="preserve"> </w:t>
      </w:r>
    </w:p>
    <w:p w14:paraId="4B6FA4B8" w14:textId="77777777" w:rsidR="00570DB1" w:rsidRPr="006A1607" w:rsidRDefault="00570DB1">
      <w:pPr>
        <w:pBdr>
          <w:bottom w:val="single" w:sz="6" w:space="0" w:color="5B6C81"/>
        </w:pBdr>
        <w:spacing w:before="120" w:after="120" w:line="0" w:lineRule="auto"/>
        <w:rPr>
          <w:lang w:val="pt-BR"/>
        </w:rPr>
      </w:pPr>
    </w:p>
    <w:tbl>
      <w:tblPr>
        <w:tblStyle w:val="TableGrid"/>
        <w:tblW w:w="14312" w:type="dxa"/>
        <w:tblBorders>
          <w:top w:val="single" w:sz="6" w:space="0" w:color="5C6C82"/>
          <w:left w:val="single" w:sz="6" w:space="0" w:color="5C6C82"/>
          <w:bottom w:val="single" w:sz="6" w:space="0" w:color="5C6C82"/>
          <w:right w:val="single" w:sz="6" w:space="0" w:color="5C6C82"/>
          <w:insideH w:val="single" w:sz="6" w:space="0" w:color="5C6C82"/>
          <w:insideV w:val="single" w:sz="6" w:space="0" w:color="5C6C82"/>
        </w:tblBorders>
        <w:tblLook w:val="04A0" w:firstRow="1" w:lastRow="0" w:firstColumn="1" w:lastColumn="0" w:noHBand="0" w:noVBand="1"/>
      </w:tblPr>
      <w:tblGrid>
        <w:gridCol w:w="4203"/>
        <w:gridCol w:w="2293"/>
        <w:gridCol w:w="4292"/>
        <w:gridCol w:w="3524"/>
      </w:tblGrid>
      <w:tr w:rsidR="003A7D40" w:rsidRPr="00744A3E" w14:paraId="4804BD56" w14:textId="77777777" w:rsidTr="003A7D40">
        <w:tc>
          <w:tcPr>
            <w:tcW w:w="14312" w:type="dxa"/>
            <w:gridSpan w:val="4"/>
            <w:shd w:val="clear" w:color="auto" w:fill="5C6C82"/>
            <w:vAlign w:val="center"/>
          </w:tcPr>
          <w:p w14:paraId="4DF19598" w14:textId="0514FCF4" w:rsidR="003A7D40" w:rsidRPr="00744A3E" w:rsidRDefault="000B4DB3" w:rsidP="003A7D40">
            <w:pPr>
              <w:rPr>
                <w:rFonts w:ascii="Avenir Next Ultra Light" w:hAnsi="Avenir Next Ultra Light"/>
                <w:b/>
                <w:bCs/>
                <w:color w:val="FFFFFF" w:themeColor="background1"/>
                <w:lang w:val="pt-BR"/>
              </w:rPr>
            </w:pPr>
            <w:r w:rsidRPr="00744A3E">
              <w:rPr>
                <w:rFonts w:ascii="Avenir Next Ultra Light" w:hAnsi="Avenir Next Ultra Light"/>
                <w:b/>
                <w:bCs/>
                <w:color w:val="FFFFFF" w:themeColor="background1"/>
                <w:lang w:val="pt-BR"/>
              </w:rPr>
              <w:t>Identificação</w:t>
            </w:r>
            <w:r w:rsidR="003A7D40" w:rsidRPr="00744A3E">
              <w:rPr>
                <w:rFonts w:ascii="Avenir Next Ultra Light" w:hAnsi="Avenir Next Ultra Light"/>
                <w:b/>
                <w:bCs/>
                <w:color w:val="FFFFFF" w:themeColor="background1"/>
                <w:lang w:val="pt-BR"/>
              </w:rPr>
              <w:t xml:space="preserve"> </w:t>
            </w:r>
            <w:r w:rsidRPr="00744A3E">
              <w:rPr>
                <w:rFonts w:ascii="Avenir Next Ultra Light" w:hAnsi="Avenir Next Ultra Light"/>
                <w:b/>
                <w:bCs/>
                <w:color w:val="FFFFFF" w:themeColor="background1"/>
                <w:lang w:val="pt-BR"/>
              </w:rPr>
              <w:t>análise das</w:t>
            </w:r>
            <w:r w:rsidR="003A7D40" w:rsidRPr="00744A3E">
              <w:rPr>
                <w:rFonts w:ascii="Avenir Next Ultra Light" w:hAnsi="Avenir Next Ultra Light"/>
                <w:b/>
                <w:bCs/>
                <w:color w:val="FFFFFF" w:themeColor="background1"/>
                <w:lang w:val="pt-BR"/>
              </w:rPr>
              <w:t xml:space="preserve"> partes </w:t>
            </w:r>
            <w:r w:rsidRPr="00744A3E">
              <w:rPr>
                <w:rFonts w:ascii="Avenir Next Ultra Light" w:hAnsi="Avenir Next Ultra Light"/>
                <w:b/>
                <w:bCs/>
                <w:color w:val="FFFFFF" w:themeColor="background1"/>
                <w:lang w:val="pt-BR"/>
              </w:rPr>
              <w:t>interessadas</w:t>
            </w:r>
          </w:p>
        </w:tc>
      </w:tr>
      <w:tr w:rsidR="000B4DB3" w:rsidRPr="00744A3E" w14:paraId="0DA5E1FC" w14:textId="77777777" w:rsidTr="000B4DB3">
        <w:tc>
          <w:tcPr>
            <w:tcW w:w="4203" w:type="dxa"/>
            <w:shd w:val="clear" w:color="auto" w:fill="A1CAD0"/>
            <w:vAlign w:val="center"/>
          </w:tcPr>
          <w:p w14:paraId="78E07344" w14:textId="39F634D6" w:rsidR="000B4DB3" w:rsidRPr="00744A3E" w:rsidRDefault="000B4DB3" w:rsidP="000B4DB3">
            <w:pPr>
              <w:jc w:val="center"/>
              <w:rPr>
                <w:rFonts w:ascii="Bodoni 72 Book" w:hAnsi="Bodoni 72 Book"/>
                <w:sz w:val="22"/>
                <w:szCs w:val="22"/>
                <w:lang w:val="pt-BR"/>
              </w:rPr>
            </w:pPr>
            <w:r w:rsidRPr="00744A3E">
              <w:rPr>
                <w:rFonts w:ascii="Bodoni 72 Book" w:hAnsi="Bodoni 72 Book"/>
                <w:sz w:val="22"/>
                <w:szCs w:val="22"/>
                <w:lang w:val="pt-BR"/>
              </w:rPr>
              <w:t>Perguntas</w:t>
            </w:r>
          </w:p>
        </w:tc>
        <w:tc>
          <w:tcPr>
            <w:tcW w:w="2293" w:type="dxa"/>
            <w:shd w:val="clear" w:color="auto" w:fill="A1CAD0"/>
            <w:vAlign w:val="center"/>
          </w:tcPr>
          <w:p w14:paraId="359F549B" w14:textId="77777777" w:rsidR="000B4DB3" w:rsidRPr="00744A3E" w:rsidRDefault="000B4DB3" w:rsidP="000B4DB3">
            <w:pPr>
              <w:jc w:val="center"/>
              <w:rPr>
                <w:rFonts w:ascii="Bodoni 72 Book" w:hAnsi="Bodoni 72 Book"/>
                <w:sz w:val="22"/>
                <w:szCs w:val="22"/>
                <w:lang w:val="pt-BR"/>
              </w:rPr>
            </w:pPr>
            <w:r w:rsidRPr="00744A3E">
              <w:rPr>
                <w:rFonts w:ascii="Bodoni 72 Book" w:hAnsi="Bodoni 72 Book"/>
                <w:sz w:val="22"/>
                <w:szCs w:val="22"/>
                <w:lang w:val="pt-BR"/>
              </w:rPr>
              <w:t>Pontuação</w:t>
            </w:r>
          </w:p>
          <w:p w14:paraId="4C76011E" w14:textId="3C7D9B5F" w:rsidR="000B4DB3" w:rsidRPr="00744A3E" w:rsidRDefault="000B4DB3" w:rsidP="000B4DB3">
            <w:pPr>
              <w:jc w:val="center"/>
              <w:rPr>
                <w:rFonts w:ascii="Bodoni 72 Book" w:hAnsi="Bodoni 72 Book"/>
                <w:sz w:val="22"/>
                <w:szCs w:val="22"/>
                <w:lang w:val="pt-BR"/>
              </w:rPr>
            </w:pPr>
            <w:r w:rsidRPr="00744A3E">
              <w:rPr>
                <w:rFonts w:ascii="Bodoni 72 Book" w:hAnsi="Bodoni 72 Book"/>
                <w:sz w:val="22"/>
                <w:szCs w:val="22"/>
                <w:lang w:val="pt-BR"/>
              </w:rPr>
              <w:t>(Sim/Não/Parcialmente)</w:t>
            </w:r>
          </w:p>
        </w:tc>
        <w:tc>
          <w:tcPr>
            <w:tcW w:w="4292" w:type="dxa"/>
            <w:shd w:val="clear" w:color="auto" w:fill="A1CAD0"/>
            <w:vAlign w:val="center"/>
          </w:tcPr>
          <w:p w14:paraId="6615C5B2" w14:textId="55F2DA02" w:rsidR="000B4DB3" w:rsidRPr="00744A3E" w:rsidRDefault="000B4DB3" w:rsidP="000B4DB3">
            <w:pPr>
              <w:jc w:val="center"/>
              <w:rPr>
                <w:rFonts w:ascii="Bodoni 72 Book" w:hAnsi="Bodoni 72 Book"/>
                <w:sz w:val="22"/>
                <w:szCs w:val="22"/>
                <w:lang w:val="pt-BR"/>
              </w:rPr>
            </w:pPr>
            <w:r w:rsidRPr="00744A3E">
              <w:rPr>
                <w:rFonts w:ascii="Bodoni 72 Book" w:hAnsi="Bodoni 72 Book"/>
                <w:sz w:val="22"/>
                <w:szCs w:val="22"/>
                <w:lang w:val="pt-BR"/>
              </w:rPr>
              <w:t>Constatações</w:t>
            </w:r>
          </w:p>
        </w:tc>
        <w:tc>
          <w:tcPr>
            <w:tcW w:w="3524" w:type="dxa"/>
            <w:shd w:val="clear" w:color="auto" w:fill="A1CAD0"/>
            <w:vAlign w:val="center"/>
          </w:tcPr>
          <w:p w14:paraId="6C4E29C9" w14:textId="4FD8FC96" w:rsidR="000B4DB3" w:rsidRPr="00744A3E" w:rsidRDefault="000B4DB3" w:rsidP="000B4DB3">
            <w:pPr>
              <w:jc w:val="center"/>
              <w:rPr>
                <w:rFonts w:ascii="Bodoni 72 Book" w:hAnsi="Bodoni 72 Book"/>
                <w:sz w:val="22"/>
                <w:szCs w:val="22"/>
                <w:lang w:val="pt-BR"/>
              </w:rPr>
            </w:pPr>
            <w:r w:rsidRPr="00744A3E">
              <w:rPr>
                <w:rFonts w:ascii="Bodoni 72 Book" w:hAnsi="Bodoni 72 Book"/>
                <w:sz w:val="22"/>
                <w:szCs w:val="22"/>
                <w:lang w:val="pt-BR"/>
              </w:rPr>
              <w:t>Meios de verificação</w:t>
            </w:r>
          </w:p>
        </w:tc>
      </w:tr>
      <w:tr w:rsidR="003A7D40" w:rsidRPr="00744A3E" w14:paraId="4A09BB3A" w14:textId="77777777" w:rsidTr="000B4DB3">
        <w:tc>
          <w:tcPr>
            <w:tcW w:w="4203" w:type="dxa"/>
          </w:tcPr>
          <w:p w14:paraId="5694FB88" w14:textId="032E125C" w:rsidR="000B4DB3" w:rsidRPr="00744A3E" w:rsidRDefault="003A7D40" w:rsidP="000B4DB3">
            <w:pPr>
              <w:pStyle w:val="ListParagraph"/>
              <w:numPr>
                <w:ilvl w:val="0"/>
                <w:numId w:val="14"/>
              </w:numPr>
              <w:rPr>
                <w:rFonts w:ascii="Avenir Next" w:hAnsi="Avenir Next"/>
                <w:sz w:val="20"/>
                <w:szCs w:val="20"/>
                <w:lang w:val="pt-BR"/>
              </w:rPr>
            </w:pPr>
            <w:r w:rsidRPr="00744A3E">
              <w:rPr>
                <w:rFonts w:ascii="Avenir Next" w:hAnsi="Avenir Next"/>
                <w:sz w:val="20"/>
                <w:szCs w:val="20"/>
                <w:lang w:val="pt-BR"/>
              </w:rPr>
              <w:t>¿</w:t>
            </w:r>
            <w:r w:rsidR="000B4DB3" w:rsidRPr="00744A3E">
              <w:rPr>
                <w:rFonts w:ascii="Avenir Next" w:hAnsi="Avenir Next"/>
                <w:sz w:val="20"/>
                <w:szCs w:val="20"/>
                <w:lang w:val="pt-BR"/>
              </w:rPr>
              <w:t xml:space="preserve"> </w:t>
            </w:r>
            <w:r w:rsidR="000B4DB3" w:rsidRPr="00744A3E">
              <w:rPr>
                <w:rFonts w:ascii="Avenir Next" w:hAnsi="Avenir Next"/>
                <w:color w:val="000000"/>
                <w:sz w:val="20"/>
                <w:szCs w:val="20"/>
                <w:lang w:val="pt-BR"/>
              </w:rPr>
              <w:t>A jurisdição conduziu um mapeamento e análise das partes interessadas para o programa J-REDD+ e suas ações REDD+?</w:t>
            </w:r>
          </w:p>
          <w:p w14:paraId="061FEA99" w14:textId="77777777" w:rsidR="003A7D40" w:rsidRPr="00744A3E" w:rsidRDefault="003A7D40" w:rsidP="00CE0AF6">
            <w:pPr>
              <w:pStyle w:val="ListParagraph"/>
              <w:rPr>
                <w:rFonts w:ascii="Avenir Next" w:hAnsi="Avenir Next"/>
                <w:sz w:val="20"/>
                <w:szCs w:val="20"/>
                <w:lang w:val="pt-BR"/>
              </w:rPr>
            </w:pPr>
          </w:p>
        </w:tc>
        <w:tc>
          <w:tcPr>
            <w:tcW w:w="2293" w:type="dxa"/>
          </w:tcPr>
          <w:p w14:paraId="1177AC0D" w14:textId="77777777" w:rsidR="003A7D40" w:rsidRPr="00744A3E" w:rsidRDefault="003A7D40" w:rsidP="00CE0AF6">
            <w:pPr>
              <w:jc w:val="center"/>
              <w:rPr>
                <w:rFonts w:ascii="Avenir Next" w:hAnsi="Avenir Next"/>
                <w:b/>
                <w:bCs/>
                <w:sz w:val="20"/>
                <w:szCs w:val="20"/>
                <w:lang w:val="pt-BR"/>
              </w:rPr>
            </w:pPr>
          </w:p>
        </w:tc>
        <w:tc>
          <w:tcPr>
            <w:tcW w:w="4292" w:type="dxa"/>
          </w:tcPr>
          <w:p w14:paraId="3710389A" w14:textId="77777777" w:rsidR="003A7D40" w:rsidRPr="00744A3E" w:rsidRDefault="003A7D40" w:rsidP="00CE0AF6">
            <w:pPr>
              <w:jc w:val="center"/>
              <w:rPr>
                <w:rFonts w:ascii="Avenir Next" w:hAnsi="Avenir Next"/>
                <w:b/>
                <w:bCs/>
                <w:sz w:val="20"/>
                <w:szCs w:val="20"/>
                <w:lang w:val="pt-BR"/>
              </w:rPr>
            </w:pPr>
          </w:p>
        </w:tc>
        <w:tc>
          <w:tcPr>
            <w:tcW w:w="3524" w:type="dxa"/>
          </w:tcPr>
          <w:p w14:paraId="04584989" w14:textId="77777777" w:rsidR="003A7D40" w:rsidRPr="00744A3E" w:rsidRDefault="003A7D40" w:rsidP="00CE0AF6">
            <w:pPr>
              <w:jc w:val="center"/>
              <w:rPr>
                <w:rFonts w:ascii="Avenir Next" w:hAnsi="Avenir Next"/>
                <w:b/>
                <w:bCs/>
                <w:sz w:val="20"/>
                <w:szCs w:val="20"/>
                <w:lang w:val="pt-BR"/>
              </w:rPr>
            </w:pPr>
          </w:p>
        </w:tc>
      </w:tr>
      <w:tr w:rsidR="003A7D40" w:rsidRPr="00744A3E" w14:paraId="1F8FFDD0" w14:textId="77777777" w:rsidTr="000B4DB3">
        <w:tc>
          <w:tcPr>
            <w:tcW w:w="4203" w:type="dxa"/>
          </w:tcPr>
          <w:p w14:paraId="72606B38" w14:textId="4D8AEEEE" w:rsidR="003A7D40" w:rsidRPr="00744A3E" w:rsidRDefault="000B4DB3" w:rsidP="003A7D40">
            <w:pPr>
              <w:pStyle w:val="ListParagraph"/>
              <w:numPr>
                <w:ilvl w:val="0"/>
                <w:numId w:val="14"/>
              </w:numPr>
              <w:rPr>
                <w:rFonts w:ascii="Avenir Next" w:hAnsi="Avenir Next"/>
                <w:sz w:val="20"/>
                <w:szCs w:val="20"/>
                <w:lang w:val="pt-BR"/>
              </w:rPr>
            </w:pPr>
            <w:r w:rsidRPr="00744A3E">
              <w:rPr>
                <w:rFonts w:ascii="Avenir Next" w:hAnsi="Avenir Next"/>
                <w:color w:val="000000"/>
                <w:sz w:val="20"/>
                <w:szCs w:val="20"/>
                <w:lang w:val="pt-BR"/>
              </w:rPr>
              <w:t>O mapeamento e análise das partes interessadas cobre tanto grupos de partes interessadas governamentais quanto não-governamentais e suas instituições representativas (incluindo povos indígenas)?</w:t>
            </w:r>
          </w:p>
          <w:p w14:paraId="77FE4AA9" w14:textId="77777777" w:rsidR="003A7D40" w:rsidRPr="00744A3E" w:rsidDel="00041B63" w:rsidRDefault="003A7D40" w:rsidP="00CE0AF6">
            <w:pPr>
              <w:pStyle w:val="ListParagraph"/>
              <w:rPr>
                <w:rFonts w:ascii="Avenir Next" w:hAnsi="Avenir Next"/>
                <w:sz w:val="20"/>
                <w:szCs w:val="20"/>
                <w:lang w:val="pt-BR"/>
              </w:rPr>
            </w:pPr>
          </w:p>
        </w:tc>
        <w:tc>
          <w:tcPr>
            <w:tcW w:w="2293" w:type="dxa"/>
          </w:tcPr>
          <w:p w14:paraId="7183373E" w14:textId="77777777" w:rsidR="003A7D40" w:rsidRPr="00744A3E" w:rsidRDefault="003A7D40" w:rsidP="00CE0AF6">
            <w:pPr>
              <w:jc w:val="center"/>
              <w:rPr>
                <w:rFonts w:ascii="Avenir Next" w:hAnsi="Avenir Next"/>
                <w:b/>
                <w:bCs/>
                <w:sz w:val="20"/>
                <w:szCs w:val="20"/>
                <w:lang w:val="pt-BR"/>
              </w:rPr>
            </w:pPr>
          </w:p>
        </w:tc>
        <w:tc>
          <w:tcPr>
            <w:tcW w:w="4292" w:type="dxa"/>
          </w:tcPr>
          <w:p w14:paraId="51EB3D7C" w14:textId="77777777" w:rsidR="003A7D40" w:rsidRPr="00744A3E" w:rsidRDefault="003A7D40" w:rsidP="00CE0AF6">
            <w:pPr>
              <w:jc w:val="center"/>
              <w:rPr>
                <w:rFonts w:ascii="Avenir Next" w:hAnsi="Avenir Next"/>
                <w:b/>
                <w:bCs/>
                <w:sz w:val="20"/>
                <w:szCs w:val="20"/>
                <w:lang w:val="pt-BR"/>
              </w:rPr>
            </w:pPr>
          </w:p>
        </w:tc>
        <w:tc>
          <w:tcPr>
            <w:tcW w:w="3524" w:type="dxa"/>
          </w:tcPr>
          <w:p w14:paraId="48A2908B" w14:textId="77777777" w:rsidR="003A7D40" w:rsidRPr="00744A3E" w:rsidRDefault="003A7D40" w:rsidP="00CE0AF6">
            <w:pPr>
              <w:jc w:val="center"/>
              <w:rPr>
                <w:rFonts w:ascii="Avenir Next" w:hAnsi="Avenir Next"/>
                <w:b/>
                <w:bCs/>
                <w:sz w:val="20"/>
                <w:szCs w:val="20"/>
                <w:lang w:val="pt-BR"/>
              </w:rPr>
            </w:pPr>
          </w:p>
        </w:tc>
      </w:tr>
      <w:tr w:rsidR="003A7D40" w:rsidRPr="00744A3E" w14:paraId="0CA57D91" w14:textId="77777777" w:rsidTr="000B4DB3">
        <w:tc>
          <w:tcPr>
            <w:tcW w:w="4203" w:type="dxa"/>
          </w:tcPr>
          <w:p w14:paraId="7208DBD1" w14:textId="427F78D2" w:rsidR="003A7D40" w:rsidRPr="00744A3E" w:rsidRDefault="000B4DB3" w:rsidP="003A7D40">
            <w:pPr>
              <w:pStyle w:val="ListParagraph"/>
              <w:numPr>
                <w:ilvl w:val="0"/>
                <w:numId w:val="14"/>
              </w:numPr>
              <w:rPr>
                <w:rFonts w:ascii="Avenir Next" w:hAnsi="Avenir Next"/>
                <w:sz w:val="20"/>
                <w:szCs w:val="20"/>
                <w:lang w:val="pt-BR"/>
              </w:rPr>
            </w:pPr>
            <w:r w:rsidRPr="00744A3E">
              <w:rPr>
                <w:rFonts w:ascii="Avenir Next" w:hAnsi="Avenir Next"/>
                <w:color w:val="000000"/>
                <w:sz w:val="20"/>
                <w:szCs w:val="20"/>
                <w:lang w:val="pt-BR"/>
              </w:rPr>
              <w:t>O mapeamento e análise das partes interessadas identifica quais grupos de partes interessadas serão mais adversamente afetados pelas ações REDD+?</w:t>
            </w:r>
          </w:p>
          <w:p w14:paraId="58E5D729" w14:textId="77777777" w:rsidR="003A7D40" w:rsidRPr="00744A3E" w:rsidRDefault="003A7D40" w:rsidP="00CE0AF6">
            <w:pPr>
              <w:pStyle w:val="ListParagraph"/>
              <w:rPr>
                <w:rFonts w:ascii="Avenir Next" w:hAnsi="Avenir Next"/>
                <w:sz w:val="20"/>
                <w:szCs w:val="20"/>
                <w:lang w:val="pt-BR"/>
              </w:rPr>
            </w:pPr>
          </w:p>
        </w:tc>
        <w:tc>
          <w:tcPr>
            <w:tcW w:w="2293" w:type="dxa"/>
          </w:tcPr>
          <w:p w14:paraId="047C31DD" w14:textId="77777777" w:rsidR="003A7D40" w:rsidRPr="00744A3E" w:rsidRDefault="003A7D40" w:rsidP="00CE0AF6">
            <w:pPr>
              <w:jc w:val="center"/>
              <w:rPr>
                <w:rFonts w:ascii="Avenir Next" w:hAnsi="Avenir Next"/>
                <w:b/>
                <w:bCs/>
                <w:sz w:val="20"/>
                <w:szCs w:val="20"/>
                <w:lang w:val="pt-BR"/>
              </w:rPr>
            </w:pPr>
          </w:p>
        </w:tc>
        <w:tc>
          <w:tcPr>
            <w:tcW w:w="4292" w:type="dxa"/>
          </w:tcPr>
          <w:p w14:paraId="2B91A954" w14:textId="77777777" w:rsidR="003A7D40" w:rsidRPr="00744A3E" w:rsidRDefault="003A7D40" w:rsidP="00CE0AF6">
            <w:pPr>
              <w:jc w:val="center"/>
              <w:rPr>
                <w:rFonts w:ascii="Avenir Next" w:hAnsi="Avenir Next"/>
                <w:b/>
                <w:bCs/>
                <w:sz w:val="20"/>
                <w:szCs w:val="20"/>
                <w:lang w:val="pt-BR"/>
              </w:rPr>
            </w:pPr>
          </w:p>
        </w:tc>
        <w:tc>
          <w:tcPr>
            <w:tcW w:w="3524" w:type="dxa"/>
          </w:tcPr>
          <w:p w14:paraId="0E19BE48" w14:textId="77777777" w:rsidR="003A7D40" w:rsidRPr="00744A3E" w:rsidRDefault="003A7D40" w:rsidP="00CE0AF6">
            <w:pPr>
              <w:jc w:val="center"/>
              <w:rPr>
                <w:rFonts w:ascii="Avenir Next" w:hAnsi="Avenir Next"/>
                <w:b/>
                <w:bCs/>
                <w:sz w:val="20"/>
                <w:szCs w:val="20"/>
                <w:lang w:val="pt-BR"/>
              </w:rPr>
            </w:pPr>
          </w:p>
        </w:tc>
      </w:tr>
      <w:tr w:rsidR="003A7D40" w:rsidRPr="00744A3E" w14:paraId="67C6CF24" w14:textId="77777777" w:rsidTr="003A7D40">
        <w:tc>
          <w:tcPr>
            <w:tcW w:w="14312" w:type="dxa"/>
            <w:gridSpan w:val="4"/>
            <w:shd w:val="clear" w:color="auto" w:fill="5C6C82"/>
            <w:vAlign w:val="center"/>
          </w:tcPr>
          <w:p w14:paraId="6F9FFD56" w14:textId="0AD59348" w:rsidR="003A7D40" w:rsidRPr="00744A3E" w:rsidRDefault="000B4DB3" w:rsidP="003A7D40">
            <w:pPr>
              <w:rPr>
                <w:rFonts w:ascii="Avenir Next Ultra Light" w:hAnsi="Avenir Next Ultra Light"/>
                <w:b/>
                <w:bCs/>
                <w:color w:val="FFFFFF" w:themeColor="background1"/>
                <w:lang w:val="pt-BR"/>
              </w:rPr>
            </w:pPr>
            <w:r w:rsidRPr="00744A3E">
              <w:rPr>
                <w:rFonts w:ascii="Avenir Next Ultra Light" w:hAnsi="Avenir Next Ultra Light"/>
                <w:b/>
                <w:bCs/>
                <w:color w:val="FFFFFF" w:themeColor="background1"/>
                <w:lang w:val="pt-BR"/>
              </w:rPr>
              <w:t>Plano</w:t>
            </w:r>
            <w:r w:rsidR="003A7D40" w:rsidRPr="00744A3E">
              <w:rPr>
                <w:rFonts w:ascii="Avenir Next Ultra Light" w:hAnsi="Avenir Next Ultra Light"/>
                <w:b/>
                <w:bCs/>
                <w:color w:val="FFFFFF" w:themeColor="background1"/>
                <w:lang w:val="pt-BR"/>
              </w:rPr>
              <w:t xml:space="preserve"> de </w:t>
            </w:r>
            <w:r w:rsidR="00744A3E" w:rsidRPr="00744A3E">
              <w:rPr>
                <w:rFonts w:ascii="Avenir Next Ultra Light" w:hAnsi="Avenir Next Ultra Light"/>
                <w:b/>
                <w:bCs/>
                <w:color w:val="FFFFFF" w:themeColor="background1"/>
                <w:lang w:val="pt-BR"/>
              </w:rPr>
              <w:t>engajamento</w:t>
            </w:r>
            <w:r w:rsidR="003A7D40" w:rsidRPr="00744A3E">
              <w:rPr>
                <w:rFonts w:ascii="Avenir Next Ultra Light" w:hAnsi="Avenir Next Ultra Light"/>
                <w:b/>
                <w:bCs/>
                <w:color w:val="FFFFFF" w:themeColor="background1"/>
                <w:lang w:val="pt-BR"/>
              </w:rPr>
              <w:t xml:space="preserve"> </w:t>
            </w:r>
            <w:r w:rsidRPr="00744A3E">
              <w:rPr>
                <w:rFonts w:ascii="Avenir Next Ultra Light" w:hAnsi="Avenir Next Ultra Light"/>
                <w:b/>
                <w:bCs/>
                <w:color w:val="FFFFFF" w:themeColor="background1"/>
                <w:lang w:val="pt-BR"/>
              </w:rPr>
              <w:t>das</w:t>
            </w:r>
            <w:r w:rsidR="003A7D40" w:rsidRPr="00744A3E">
              <w:rPr>
                <w:rFonts w:ascii="Avenir Next Ultra Light" w:hAnsi="Avenir Next Ultra Light"/>
                <w:b/>
                <w:bCs/>
                <w:color w:val="FFFFFF" w:themeColor="background1"/>
                <w:lang w:val="pt-BR"/>
              </w:rPr>
              <w:t xml:space="preserve"> partes </w:t>
            </w:r>
            <w:r w:rsidRPr="00744A3E">
              <w:rPr>
                <w:rFonts w:ascii="Avenir Next Ultra Light" w:hAnsi="Avenir Next Ultra Light"/>
                <w:b/>
                <w:bCs/>
                <w:color w:val="FFFFFF" w:themeColor="background1"/>
                <w:lang w:val="pt-BR"/>
              </w:rPr>
              <w:t>interessadas</w:t>
            </w:r>
          </w:p>
        </w:tc>
      </w:tr>
      <w:tr w:rsidR="000B4DB3" w:rsidRPr="00744A3E" w14:paraId="7AE4E7D8" w14:textId="77777777" w:rsidTr="000B4DB3">
        <w:tc>
          <w:tcPr>
            <w:tcW w:w="4203" w:type="dxa"/>
            <w:shd w:val="clear" w:color="auto" w:fill="A1CAD0"/>
            <w:vAlign w:val="center"/>
          </w:tcPr>
          <w:p w14:paraId="51057E81" w14:textId="31260C7B" w:rsidR="000B4DB3" w:rsidRPr="00744A3E" w:rsidRDefault="000B4DB3" w:rsidP="000B4DB3">
            <w:pPr>
              <w:jc w:val="center"/>
              <w:rPr>
                <w:rFonts w:ascii="Bodoni 72 Book" w:hAnsi="Bodoni 72 Book"/>
                <w:sz w:val="22"/>
                <w:szCs w:val="22"/>
                <w:lang w:val="pt-BR"/>
              </w:rPr>
            </w:pPr>
            <w:r w:rsidRPr="00744A3E">
              <w:rPr>
                <w:rFonts w:ascii="Bodoni 72 Book" w:hAnsi="Bodoni 72 Book"/>
                <w:sz w:val="22"/>
                <w:szCs w:val="22"/>
                <w:lang w:val="pt-BR"/>
              </w:rPr>
              <w:t>Perguntas</w:t>
            </w:r>
          </w:p>
        </w:tc>
        <w:tc>
          <w:tcPr>
            <w:tcW w:w="2293" w:type="dxa"/>
            <w:shd w:val="clear" w:color="auto" w:fill="A1CAD0"/>
            <w:vAlign w:val="center"/>
          </w:tcPr>
          <w:p w14:paraId="3A0C4FD2" w14:textId="77777777" w:rsidR="000B4DB3" w:rsidRPr="00744A3E" w:rsidRDefault="000B4DB3" w:rsidP="000B4DB3">
            <w:pPr>
              <w:jc w:val="center"/>
              <w:rPr>
                <w:rFonts w:ascii="Bodoni 72 Book" w:hAnsi="Bodoni 72 Book"/>
                <w:sz w:val="22"/>
                <w:szCs w:val="22"/>
                <w:lang w:val="pt-BR"/>
              </w:rPr>
            </w:pPr>
            <w:r w:rsidRPr="00744A3E">
              <w:rPr>
                <w:rFonts w:ascii="Bodoni 72 Book" w:hAnsi="Bodoni 72 Book"/>
                <w:sz w:val="22"/>
                <w:szCs w:val="22"/>
                <w:lang w:val="pt-BR"/>
              </w:rPr>
              <w:t>Pontuação</w:t>
            </w:r>
          </w:p>
          <w:p w14:paraId="6BBFFB04" w14:textId="055EFE3D" w:rsidR="000B4DB3" w:rsidRPr="00744A3E" w:rsidRDefault="000B4DB3" w:rsidP="000B4DB3">
            <w:pPr>
              <w:jc w:val="center"/>
              <w:rPr>
                <w:rFonts w:ascii="Bodoni 72 Book" w:hAnsi="Bodoni 72 Book"/>
                <w:sz w:val="22"/>
                <w:szCs w:val="22"/>
                <w:lang w:val="pt-BR"/>
              </w:rPr>
            </w:pPr>
            <w:r w:rsidRPr="00744A3E">
              <w:rPr>
                <w:rFonts w:ascii="Bodoni 72 Book" w:hAnsi="Bodoni 72 Book"/>
                <w:sz w:val="22"/>
                <w:szCs w:val="22"/>
                <w:lang w:val="pt-BR"/>
              </w:rPr>
              <w:t>(Sim/Não/Parcialmente)</w:t>
            </w:r>
          </w:p>
        </w:tc>
        <w:tc>
          <w:tcPr>
            <w:tcW w:w="4292" w:type="dxa"/>
            <w:shd w:val="clear" w:color="auto" w:fill="A1CAD0"/>
            <w:vAlign w:val="center"/>
          </w:tcPr>
          <w:p w14:paraId="3F0DAF41" w14:textId="0B89E2D9" w:rsidR="000B4DB3" w:rsidRPr="00744A3E" w:rsidRDefault="000B4DB3" w:rsidP="000B4DB3">
            <w:pPr>
              <w:jc w:val="center"/>
              <w:rPr>
                <w:rFonts w:ascii="Bodoni 72 Book" w:hAnsi="Bodoni 72 Book"/>
                <w:sz w:val="22"/>
                <w:szCs w:val="22"/>
                <w:lang w:val="pt-BR"/>
              </w:rPr>
            </w:pPr>
            <w:r w:rsidRPr="00744A3E">
              <w:rPr>
                <w:rFonts w:ascii="Bodoni 72 Book" w:hAnsi="Bodoni 72 Book"/>
                <w:sz w:val="22"/>
                <w:szCs w:val="22"/>
                <w:lang w:val="pt-BR"/>
              </w:rPr>
              <w:t>Constatações</w:t>
            </w:r>
          </w:p>
        </w:tc>
        <w:tc>
          <w:tcPr>
            <w:tcW w:w="3524" w:type="dxa"/>
            <w:shd w:val="clear" w:color="auto" w:fill="A1CAD0"/>
            <w:vAlign w:val="center"/>
          </w:tcPr>
          <w:p w14:paraId="0B09328C" w14:textId="28CA5FB2" w:rsidR="000B4DB3" w:rsidRPr="00744A3E" w:rsidRDefault="000B4DB3" w:rsidP="000B4DB3">
            <w:pPr>
              <w:jc w:val="center"/>
              <w:rPr>
                <w:rFonts w:ascii="Bodoni 72 Book" w:hAnsi="Bodoni 72 Book"/>
                <w:sz w:val="22"/>
                <w:szCs w:val="22"/>
                <w:lang w:val="pt-BR"/>
              </w:rPr>
            </w:pPr>
            <w:r w:rsidRPr="00744A3E">
              <w:rPr>
                <w:rFonts w:ascii="Bodoni 72 Book" w:hAnsi="Bodoni 72 Book"/>
                <w:sz w:val="22"/>
                <w:szCs w:val="22"/>
                <w:lang w:val="pt-BR"/>
              </w:rPr>
              <w:t>Meios de verificação</w:t>
            </w:r>
          </w:p>
        </w:tc>
      </w:tr>
      <w:tr w:rsidR="003A7D40" w:rsidRPr="00744A3E" w14:paraId="2087CE76" w14:textId="77777777" w:rsidTr="000B4DB3">
        <w:tc>
          <w:tcPr>
            <w:tcW w:w="4203" w:type="dxa"/>
          </w:tcPr>
          <w:p w14:paraId="3A9F3225" w14:textId="47BCBAD7" w:rsidR="003A7D40" w:rsidRPr="00744A3E" w:rsidRDefault="000B4DB3" w:rsidP="003A7D40">
            <w:pPr>
              <w:pStyle w:val="ListParagraph"/>
              <w:numPr>
                <w:ilvl w:val="0"/>
                <w:numId w:val="14"/>
              </w:numPr>
              <w:rPr>
                <w:rFonts w:ascii="Avenir Next" w:hAnsi="Avenir Next"/>
                <w:sz w:val="20"/>
                <w:szCs w:val="20"/>
                <w:lang w:val="pt-BR"/>
              </w:rPr>
            </w:pPr>
            <w:r w:rsidRPr="00744A3E">
              <w:rPr>
                <w:rFonts w:ascii="Avenir Next" w:hAnsi="Avenir Next"/>
                <w:color w:val="000000"/>
                <w:sz w:val="20"/>
                <w:szCs w:val="20"/>
                <w:lang w:val="pt-BR"/>
              </w:rPr>
              <w:t xml:space="preserve">A jurisdição adotou um plano de engajamento de partes </w:t>
            </w:r>
            <w:r w:rsidRPr="00744A3E">
              <w:rPr>
                <w:rFonts w:ascii="Avenir Next" w:hAnsi="Avenir Next"/>
                <w:color w:val="000000"/>
                <w:sz w:val="20"/>
                <w:szCs w:val="20"/>
                <w:lang w:val="pt-BR"/>
              </w:rPr>
              <w:lastRenderedPageBreak/>
              <w:t>interessadas?</w:t>
            </w:r>
          </w:p>
        </w:tc>
        <w:tc>
          <w:tcPr>
            <w:tcW w:w="2293" w:type="dxa"/>
          </w:tcPr>
          <w:p w14:paraId="085385D8" w14:textId="77777777" w:rsidR="003A7D40" w:rsidRPr="00744A3E" w:rsidRDefault="003A7D40" w:rsidP="00CE0AF6">
            <w:pPr>
              <w:jc w:val="center"/>
              <w:rPr>
                <w:rFonts w:ascii="Avenir Next" w:hAnsi="Avenir Next"/>
                <w:b/>
                <w:bCs/>
                <w:sz w:val="20"/>
                <w:szCs w:val="20"/>
                <w:lang w:val="pt-BR"/>
              </w:rPr>
            </w:pPr>
          </w:p>
        </w:tc>
        <w:tc>
          <w:tcPr>
            <w:tcW w:w="4292" w:type="dxa"/>
          </w:tcPr>
          <w:p w14:paraId="07425F20" w14:textId="77777777" w:rsidR="003A7D40" w:rsidRPr="00744A3E" w:rsidRDefault="003A7D40" w:rsidP="00CE0AF6">
            <w:pPr>
              <w:jc w:val="center"/>
              <w:rPr>
                <w:rFonts w:ascii="Avenir Next" w:hAnsi="Avenir Next"/>
                <w:b/>
                <w:bCs/>
                <w:sz w:val="20"/>
                <w:szCs w:val="20"/>
                <w:lang w:val="pt-BR"/>
              </w:rPr>
            </w:pPr>
          </w:p>
        </w:tc>
        <w:tc>
          <w:tcPr>
            <w:tcW w:w="3524" w:type="dxa"/>
          </w:tcPr>
          <w:p w14:paraId="1848162F" w14:textId="77777777" w:rsidR="003A7D40" w:rsidRPr="00744A3E" w:rsidRDefault="003A7D40" w:rsidP="00CE0AF6">
            <w:pPr>
              <w:jc w:val="center"/>
              <w:rPr>
                <w:rFonts w:ascii="Avenir Next" w:hAnsi="Avenir Next"/>
                <w:b/>
                <w:bCs/>
                <w:sz w:val="20"/>
                <w:szCs w:val="20"/>
                <w:lang w:val="pt-BR"/>
              </w:rPr>
            </w:pPr>
          </w:p>
        </w:tc>
      </w:tr>
      <w:tr w:rsidR="003A7D40" w:rsidRPr="00744A3E" w14:paraId="4A2DD0D2" w14:textId="77777777" w:rsidTr="000B4DB3">
        <w:tc>
          <w:tcPr>
            <w:tcW w:w="4203" w:type="dxa"/>
          </w:tcPr>
          <w:p w14:paraId="15083FFD" w14:textId="40000945" w:rsidR="003A7D40" w:rsidRPr="00744A3E" w:rsidRDefault="000B4DB3" w:rsidP="003A7D40">
            <w:pPr>
              <w:pStyle w:val="ListParagraph"/>
              <w:numPr>
                <w:ilvl w:val="0"/>
                <w:numId w:val="14"/>
              </w:numPr>
              <w:rPr>
                <w:rFonts w:ascii="Avenir Next" w:hAnsi="Avenir Next"/>
                <w:sz w:val="20"/>
                <w:szCs w:val="20"/>
                <w:lang w:val="pt-BR"/>
              </w:rPr>
            </w:pPr>
            <w:r w:rsidRPr="00744A3E">
              <w:rPr>
                <w:rFonts w:ascii="Avenir Next" w:hAnsi="Avenir Next"/>
                <w:color w:val="000000"/>
                <w:sz w:val="20"/>
                <w:szCs w:val="20"/>
                <w:lang w:val="pt-BR"/>
              </w:rPr>
              <w:t>O plano de engajamento considera arranjos para garantir que as consultas com povos indígenas sejam realizadas através de seus próprios processos, organizações e instituições existentes?</w:t>
            </w:r>
          </w:p>
          <w:p w14:paraId="788B8C72" w14:textId="77777777" w:rsidR="003A7D40" w:rsidRPr="00744A3E" w:rsidRDefault="003A7D40" w:rsidP="00CE0AF6">
            <w:pPr>
              <w:pStyle w:val="ListParagraph"/>
              <w:rPr>
                <w:rFonts w:ascii="Avenir Next" w:hAnsi="Avenir Next"/>
                <w:sz w:val="20"/>
                <w:szCs w:val="20"/>
                <w:lang w:val="pt-BR"/>
              </w:rPr>
            </w:pPr>
          </w:p>
        </w:tc>
        <w:tc>
          <w:tcPr>
            <w:tcW w:w="2293" w:type="dxa"/>
          </w:tcPr>
          <w:p w14:paraId="1C97F2D1" w14:textId="77777777" w:rsidR="003A7D40" w:rsidRPr="00744A3E" w:rsidRDefault="003A7D40" w:rsidP="00CE0AF6">
            <w:pPr>
              <w:jc w:val="center"/>
              <w:rPr>
                <w:rFonts w:ascii="Avenir Next" w:hAnsi="Avenir Next"/>
                <w:b/>
                <w:bCs/>
                <w:sz w:val="20"/>
                <w:szCs w:val="20"/>
                <w:lang w:val="pt-BR"/>
              </w:rPr>
            </w:pPr>
          </w:p>
        </w:tc>
        <w:tc>
          <w:tcPr>
            <w:tcW w:w="4292" w:type="dxa"/>
          </w:tcPr>
          <w:p w14:paraId="0C4B0A14" w14:textId="77777777" w:rsidR="003A7D40" w:rsidRPr="00744A3E" w:rsidRDefault="003A7D40" w:rsidP="00CE0AF6">
            <w:pPr>
              <w:jc w:val="center"/>
              <w:rPr>
                <w:rFonts w:ascii="Avenir Next" w:hAnsi="Avenir Next"/>
                <w:b/>
                <w:bCs/>
                <w:sz w:val="20"/>
                <w:szCs w:val="20"/>
                <w:lang w:val="pt-BR"/>
              </w:rPr>
            </w:pPr>
          </w:p>
        </w:tc>
        <w:tc>
          <w:tcPr>
            <w:tcW w:w="3524" w:type="dxa"/>
          </w:tcPr>
          <w:p w14:paraId="35CE660D" w14:textId="77777777" w:rsidR="003A7D40" w:rsidRPr="00744A3E" w:rsidRDefault="003A7D40" w:rsidP="00CE0AF6">
            <w:pPr>
              <w:jc w:val="center"/>
              <w:rPr>
                <w:rFonts w:ascii="Avenir Next" w:hAnsi="Avenir Next"/>
                <w:b/>
                <w:bCs/>
                <w:sz w:val="20"/>
                <w:szCs w:val="20"/>
                <w:lang w:val="pt-BR"/>
              </w:rPr>
            </w:pPr>
          </w:p>
        </w:tc>
      </w:tr>
      <w:tr w:rsidR="003A7D40" w:rsidRPr="00744A3E" w14:paraId="7828CC3A" w14:textId="77777777" w:rsidTr="000B4DB3">
        <w:tc>
          <w:tcPr>
            <w:tcW w:w="4203" w:type="dxa"/>
          </w:tcPr>
          <w:p w14:paraId="5AB0E8CC" w14:textId="11BC977F" w:rsidR="003A7D40" w:rsidRPr="00744A3E" w:rsidRDefault="000B4DB3" w:rsidP="003A7D40">
            <w:pPr>
              <w:pStyle w:val="ListParagraph"/>
              <w:numPr>
                <w:ilvl w:val="0"/>
                <w:numId w:val="14"/>
              </w:numPr>
              <w:rPr>
                <w:rFonts w:ascii="Avenir Next" w:hAnsi="Avenir Next"/>
                <w:sz w:val="20"/>
                <w:szCs w:val="20"/>
                <w:lang w:val="pt-BR"/>
              </w:rPr>
            </w:pPr>
            <w:r w:rsidRPr="00744A3E">
              <w:rPr>
                <w:rFonts w:ascii="Avenir Next" w:hAnsi="Avenir Next"/>
                <w:color w:val="000000"/>
                <w:sz w:val="20"/>
                <w:szCs w:val="20"/>
                <w:lang w:val="pt-BR"/>
              </w:rPr>
              <w:t xml:space="preserve">O plano de </w:t>
            </w:r>
            <w:r w:rsidR="00744A3E" w:rsidRPr="00744A3E">
              <w:rPr>
                <w:rFonts w:ascii="Avenir Next" w:hAnsi="Avenir Next"/>
                <w:color w:val="000000"/>
                <w:sz w:val="20"/>
                <w:szCs w:val="20"/>
                <w:lang w:val="pt-BR"/>
              </w:rPr>
              <w:t>engajamento considera</w:t>
            </w:r>
            <w:r w:rsidRPr="00744A3E">
              <w:rPr>
                <w:rFonts w:ascii="Avenir Next" w:hAnsi="Avenir Next"/>
                <w:color w:val="000000"/>
                <w:sz w:val="20"/>
                <w:szCs w:val="20"/>
                <w:lang w:val="pt-BR"/>
              </w:rPr>
              <w:t xml:space="preserve"> arranjos para assegurar que as consultas </w:t>
            </w:r>
            <w:r w:rsidR="00744A3E" w:rsidRPr="00744A3E">
              <w:rPr>
                <w:rFonts w:ascii="Avenir Next" w:hAnsi="Avenir Next"/>
                <w:color w:val="000000"/>
                <w:sz w:val="20"/>
                <w:szCs w:val="20"/>
                <w:lang w:val="pt-BR"/>
              </w:rPr>
              <w:t>garantam</w:t>
            </w:r>
            <w:r w:rsidRPr="00744A3E">
              <w:rPr>
                <w:rFonts w:ascii="Avenir Next" w:hAnsi="Avenir Next"/>
                <w:color w:val="000000"/>
                <w:sz w:val="20"/>
                <w:szCs w:val="20"/>
                <w:lang w:val="pt-BR"/>
              </w:rPr>
              <w:t xml:space="preserve"> a </w:t>
            </w:r>
            <w:r w:rsidR="00744A3E" w:rsidRPr="00744A3E">
              <w:rPr>
                <w:rFonts w:ascii="Avenir Next" w:hAnsi="Avenir Next"/>
                <w:color w:val="000000"/>
                <w:sz w:val="20"/>
                <w:szCs w:val="20"/>
                <w:lang w:val="pt-BR"/>
              </w:rPr>
              <w:t>inclusão</w:t>
            </w:r>
            <w:r w:rsidRPr="00744A3E">
              <w:rPr>
                <w:rFonts w:ascii="Avenir Next" w:hAnsi="Avenir Next"/>
                <w:color w:val="000000"/>
                <w:sz w:val="20"/>
                <w:szCs w:val="20"/>
                <w:lang w:val="pt-BR"/>
              </w:rPr>
              <w:t xml:space="preserve"> de gênero?</w:t>
            </w:r>
          </w:p>
          <w:p w14:paraId="4FDFB226" w14:textId="77777777" w:rsidR="003A7D40" w:rsidRPr="00744A3E" w:rsidRDefault="003A7D40" w:rsidP="00CE0AF6">
            <w:pPr>
              <w:pStyle w:val="ListParagraph"/>
              <w:rPr>
                <w:rFonts w:ascii="Avenir Next" w:hAnsi="Avenir Next"/>
                <w:sz w:val="20"/>
                <w:szCs w:val="20"/>
                <w:lang w:val="pt-BR"/>
              </w:rPr>
            </w:pPr>
          </w:p>
        </w:tc>
        <w:tc>
          <w:tcPr>
            <w:tcW w:w="2293" w:type="dxa"/>
          </w:tcPr>
          <w:p w14:paraId="53C2460D" w14:textId="77777777" w:rsidR="003A7D40" w:rsidRPr="00744A3E" w:rsidRDefault="003A7D40" w:rsidP="00CE0AF6">
            <w:pPr>
              <w:jc w:val="center"/>
              <w:rPr>
                <w:rFonts w:ascii="Avenir Next" w:hAnsi="Avenir Next"/>
                <w:b/>
                <w:bCs/>
                <w:sz w:val="20"/>
                <w:szCs w:val="20"/>
                <w:lang w:val="pt-BR"/>
              </w:rPr>
            </w:pPr>
          </w:p>
        </w:tc>
        <w:tc>
          <w:tcPr>
            <w:tcW w:w="4292" w:type="dxa"/>
          </w:tcPr>
          <w:p w14:paraId="5F06504A" w14:textId="77777777" w:rsidR="003A7D40" w:rsidRPr="00744A3E" w:rsidRDefault="003A7D40" w:rsidP="00CE0AF6">
            <w:pPr>
              <w:jc w:val="center"/>
              <w:rPr>
                <w:rFonts w:ascii="Avenir Next" w:hAnsi="Avenir Next"/>
                <w:b/>
                <w:bCs/>
                <w:sz w:val="20"/>
                <w:szCs w:val="20"/>
                <w:lang w:val="pt-BR"/>
              </w:rPr>
            </w:pPr>
          </w:p>
        </w:tc>
        <w:tc>
          <w:tcPr>
            <w:tcW w:w="3524" w:type="dxa"/>
          </w:tcPr>
          <w:p w14:paraId="1043127C" w14:textId="77777777" w:rsidR="003A7D40" w:rsidRPr="00744A3E" w:rsidRDefault="003A7D40" w:rsidP="00CE0AF6">
            <w:pPr>
              <w:jc w:val="center"/>
              <w:rPr>
                <w:rFonts w:ascii="Avenir Next" w:hAnsi="Avenir Next"/>
                <w:b/>
                <w:bCs/>
                <w:sz w:val="20"/>
                <w:szCs w:val="20"/>
                <w:lang w:val="pt-BR"/>
              </w:rPr>
            </w:pPr>
          </w:p>
        </w:tc>
      </w:tr>
      <w:tr w:rsidR="003A7D40" w:rsidRPr="00744A3E" w14:paraId="57AB6A5B" w14:textId="77777777" w:rsidTr="000B4DB3">
        <w:tc>
          <w:tcPr>
            <w:tcW w:w="4203" w:type="dxa"/>
          </w:tcPr>
          <w:p w14:paraId="502FBB37" w14:textId="690D619E" w:rsidR="003A7D40" w:rsidRPr="00744A3E" w:rsidRDefault="000B4DB3" w:rsidP="003A7D40">
            <w:pPr>
              <w:pStyle w:val="ListParagraph"/>
              <w:numPr>
                <w:ilvl w:val="0"/>
                <w:numId w:val="14"/>
              </w:numPr>
              <w:rPr>
                <w:rFonts w:ascii="Avenir Next" w:hAnsi="Avenir Next"/>
                <w:sz w:val="20"/>
                <w:szCs w:val="20"/>
                <w:lang w:val="pt-BR"/>
              </w:rPr>
            </w:pPr>
            <w:r w:rsidRPr="00744A3E">
              <w:rPr>
                <w:rFonts w:ascii="Avenir Next" w:hAnsi="Avenir Next"/>
                <w:color w:val="000000"/>
                <w:sz w:val="20"/>
                <w:szCs w:val="20"/>
                <w:lang w:val="pt-BR"/>
              </w:rPr>
              <w:t>O plano de engajamento leva em consideração as normas culturais, práticas e valores das partes interessadas?</w:t>
            </w:r>
          </w:p>
          <w:p w14:paraId="522E0745" w14:textId="77777777" w:rsidR="003A7D40" w:rsidRPr="00744A3E" w:rsidRDefault="003A7D40" w:rsidP="00CE0AF6">
            <w:pPr>
              <w:pStyle w:val="ListParagraph"/>
              <w:rPr>
                <w:rFonts w:ascii="Avenir Next" w:hAnsi="Avenir Next"/>
                <w:sz w:val="20"/>
                <w:szCs w:val="20"/>
                <w:lang w:val="pt-BR"/>
              </w:rPr>
            </w:pPr>
          </w:p>
        </w:tc>
        <w:tc>
          <w:tcPr>
            <w:tcW w:w="2293" w:type="dxa"/>
          </w:tcPr>
          <w:p w14:paraId="4AD9B72F" w14:textId="77777777" w:rsidR="003A7D40" w:rsidRPr="00744A3E" w:rsidRDefault="003A7D40" w:rsidP="00CE0AF6">
            <w:pPr>
              <w:jc w:val="center"/>
              <w:rPr>
                <w:rFonts w:ascii="Avenir Next" w:hAnsi="Avenir Next"/>
                <w:b/>
                <w:bCs/>
                <w:sz w:val="20"/>
                <w:szCs w:val="20"/>
                <w:lang w:val="pt-BR"/>
              </w:rPr>
            </w:pPr>
          </w:p>
        </w:tc>
        <w:tc>
          <w:tcPr>
            <w:tcW w:w="4292" w:type="dxa"/>
          </w:tcPr>
          <w:p w14:paraId="1D556D1A" w14:textId="77777777" w:rsidR="003A7D40" w:rsidRPr="00744A3E" w:rsidRDefault="003A7D40" w:rsidP="00CE0AF6">
            <w:pPr>
              <w:jc w:val="center"/>
              <w:rPr>
                <w:rFonts w:ascii="Avenir Next" w:hAnsi="Avenir Next"/>
                <w:b/>
                <w:bCs/>
                <w:sz w:val="20"/>
                <w:szCs w:val="20"/>
                <w:lang w:val="pt-BR"/>
              </w:rPr>
            </w:pPr>
          </w:p>
        </w:tc>
        <w:tc>
          <w:tcPr>
            <w:tcW w:w="3524" w:type="dxa"/>
          </w:tcPr>
          <w:p w14:paraId="71474EEA" w14:textId="77777777" w:rsidR="003A7D40" w:rsidRPr="00744A3E" w:rsidRDefault="003A7D40" w:rsidP="00CE0AF6">
            <w:pPr>
              <w:jc w:val="center"/>
              <w:rPr>
                <w:rFonts w:ascii="Avenir Next" w:hAnsi="Avenir Next"/>
                <w:b/>
                <w:bCs/>
                <w:sz w:val="20"/>
                <w:szCs w:val="20"/>
                <w:lang w:val="pt-BR"/>
              </w:rPr>
            </w:pPr>
          </w:p>
        </w:tc>
      </w:tr>
      <w:tr w:rsidR="003A7D40" w:rsidRPr="00744A3E" w14:paraId="2047C5EA" w14:textId="77777777" w:rsidTr="000B4DB3">
        <w:tc>
          <w:tcPr>
            <w:tcW w:w="4203" w:type="dxa"/>
          </w:tcPr>
          <w:p w14:paraId="661C0EEE" w14:textId="009E2CCF" w:rsidR="003A7D40" w:rsidRPr="00744A3E" w:rsidRDefault="00A1586E" w:rsidP="003A7D40">
            <w:pPr>
              <w:pStyle w:val="ListParagraph"/>
              <w:numPr>
                <w:ilvl w:val="0"/>
                <w:numId w:val="14"/>
              </w:numPr>
              <w:rPr>
                <w:rFonts w:ascii="Avenir Next" w:hAnsi="Avenir Next"/>
                <w:sz w:val="20"/>
                <w:szCs w:val="20"/>
                <w:lang w:val="pt-BR"/>
              </w:rPr>
            </w:pPr>
            <w:r w:rsidRPr="00744A3E">
              <w:rPr>
                <w:rFonts w:ascii="Avenir Next" w:hAnsi="Avenir Next"/>
                <w:color w:val="000000"/>
                <w:sz w:val="20"/>
                <w:szCs w:val="20"/>
                <w:lang w:val="pt-BR"/>
              </w:rPr>
              <w:t xml:space="preserve">O plano de engajamento considera o uso de corpos ou plataformas de representação, como Plataformas </w:t>
            </w:r>
            <w:proofErr w:type="spellStart"/>
            <w:r w:rsidRPr="00744A3E">
              <w:rPr>
                <w:rFonts w:ascii="Avenir Next" w:hAnsi="Avenir Next"/>
                <w:color w:val="000000"/>
                <w:sz w:val="20"/>
                <w:szCs w:val="20"/>
                <w:lang w:val="pt-BR"/>
              </w:rPr>
              <w:t>Multi</w:t>
            </w:r>
            <w:proofErr w:type="spellEnd"/>
            <w:r w:rsidRPr="00744A3E">
              <w:rPr>
                <w:rFonts w:ascii="Avenir Next" w:hAnsi="Avenir Next"/>
                <w:color w:val="000000"/>
                <w:sz w:val="20"/>
                <w:szCs w:val="20"/>
                <w:lang w:val="pt-BR"/>
              </w:rPr>
              <w:t xml:space="preserve"> </w:t>
            </w:r>
            <w:r w:rsidR="00744A3E" w:rsidRPr="00744A3E">
              <w:rPr>
                <w:rFonts w:ascii="Avenir Next" w:hAnsi="Avenir Next"/>
                <w:color w:val="000000"/>
                <w:sz w:val="20"/>
                <w:szCs w:val="20"/>
                <w:lang w:val="pt-BR"/>
              </w:rPr>
              <w:t>Stakeholder?</w:t>
            </w:r>
            <w:r w:rsidRPr="00744A3E">
              <w:rPr>
                <w:rFonts w:ascii="Avenir Next" w:hAnsi="Avenir Next"/>
                <w:color w:val="000000"/>
                <w:sz w:val="20"/>
                <w:szCs w:val="20"/>
                <w:lang w:val="pt-BR"/>
              </w:rPr>
              <w:t xml:space="preserve"> Se sim, essas plataformas são funcionais?</w:t>
            </w:r>
          </w:p>
          <w:p w14:paraId="5D75B38D" w14:textId="77777777" w:rsidR="003A7D40" w:rsidRPr="00744A3E" w:rsidRDefault="003A7D40" w:rsidP="00CE0AF6">
            <w:pPr>
              <w:pStyle w:val="ListParagraph"/>
              <w:rPr>
                <w:rFonts w:ascii="Avenir Next" w:hAnsi="Avenir Next"/>
                <w:sz w:val="20"/>
                <w:szCs w:val="20"/>
                <w:lang w:val="pt-BR"/>
              </w:rPr>
            </w:pPr>
          </w:p>
        </w:tc>
        <w:tc>
          <w:tcPr>
            <w:tcW w:w="2293" w:type="dxa"/>
          </w:tcPr>
          <w:p w14:paraId="07760211" w14:textId="77777777" w:rsidR="003A7D40" w:rsidRPr="00744A3E" w:rsidRDefault="003A7D40" w:rsidP="00CE0AF6">
            <w:pPr>
              <w:jc w:val="center"/>
              <w:rPr>
                <w:rFonts w:ascii="Avenir Next" w:hAnsi="Avenir Next"/>
                <w:sz w:val="20"/>
                <w:szCs w:val="20"/>
                <w:lang w:val="pt-BR"/>
              </w:rPr>
            </w:pPr>
          </w:p>
        </w:tc>
        <w:tc>
          <w:tcPr>
            <w:tcW w:w="4292" w:type="dxa"/>
          </w:tcPr>
          <w:p w14:paraId="5539F17C" w14:textId="77777777" w:rsidR="003A7D40" w:rsidRPr="00744A3E" w:rsidRDefault="003A7D40" w:rsidP="00CE0AF6">
            <w:pPr>
              <w:jc w:val="center"/>
              <w:rPr>
                <w:rFonts w:ascii="Avenir Next" w:hAnsi="Avenir Next"/>
                <w:sz w:val="20"/>
                <w:szCs w:val="20"/>
                <w:lang w:val="pt-BR"/>
              </w:rPr>
            </w:pPr>
          </w:p>
        </w:tc>
        <w:tc>
          <w:tcPr>
            <w:tcW w:w="3524" w:type="dxa"/>
          </w:tcPr>
          <w:p w14:paraId="2AF1FB70" w14:textId="77777777" w:rsidR="003A7D40" w:rsidRPr="00744A3E" w:rsidRDefault="003A7D40" w:rsidP="00CE0AF6">
            <w:pPr>
              <w:jc w:val="center"/>
              <w:rPr>
                <w:rFonts w:ascii="Avenir Next" w:hAnsi="Avenir Next"/>
                <w:b/>
                <w:bCs/>
                <w:sz w:val="20"/>
                <w:szCs w:val="20"/>
                <w:lang w:val="pt-BR"/>
              </w:rPr>
            </w:pPr>
          </w:p>
        </w:tc>
      </w:tr>
      <w:tr w:rsidR="003A7D40" w:rsidRPr="00744A3E" w14:paraId="16A6D691" w14:textId="77777777" w:rsidTr="000B4DB3">
        <w:tc>
          <w:tcPr>
            <w:tcW w:w="4203" w:type="dxa"/>
          </w:tcPr>
          <w:p w14:paraId="7C806DC2" w14:textId="1068A544" w:rsidR="003A7D40" w:rsidRPr="00744A3E" w:rsidRDefault="003A7D40" w:rsidP="003A7D40">
            <w:pPr>
              <w:pStyle w:val="ListParagraph"/>
              <w:numPr>
                <w:ilvl w:val="0"/>
                <w:numId w:val="14"/>
              </w:numPr>
              <w:rPr>
                <w:rFonts w:ascii="Avenir Next" w:hAnsi="Avenir Next"/>
                <w:sz w:val="20"/>
                <w:szCs w:val="20"/>
                <w:lang w:val="pt-BR"/>
              </w:rPr>
            </w:pPr>
            <w:r w:rsidRPr="00744A3E">
              <w:rPr>
                <w:rFonts w:ascii="Avenir Next" w:hAnsi="Avenir Next"/>
                <w:sz w:val="20"/>
                <w:szCs w:val="20"/>
                <w:lang w:val="pt-BR"/>
              </w:rPr>
              <w:t>¿</w:t>
            </w:r>
            <w:r w:rsidR="00A1586E" w:rsidRPr="00744A3E">
              <w:rPr>
                <w:rFonts w:ascii="Avenir Next" w:hAnsi="Avenir Next"/>
                <w:color w:val="000000"/>
                <w:sz w:val="20"/>
                <w:szCs w:val="20"/>
                <w:lang w:val="pt-BR"/>
              </w:rPr>
              <w:t xml:space="preserve"> As funções e papéis </w:t>
            </w:r>
            <w:r w:rsidR="00744A3E" w:rsidRPr="00744A3E">
              <w:rPr>
                <w:rFonts w:ascii="Avenir Next" w:hAnsi="Avenir Next"/>
                <w:color w:val="000000"/>
                <w:sz w:val="20"/>
                <w:szCs w:val="20"/>
                <w:lang w:val="pt-BR"/>
              </w:rPr>
              <w:t>dessa</w:t>
            </w:r>
            <w:r w:rsidR="00744A3E">
              <w:rPr>
                <w:rFonts w:ascii="Avenir Next" w:hAnsi="Avenir Next"/>
                <w:color w:val="000000"/>
                <w:sz w:val="20"/>
                <w:szCs w:val="20"/>
                <w:lang w:val="pt-BR"/>
              </w:rPr>
              <w:t xml:space="preserve">s </w:t>
            </w:r>
            <w:r w:rsidR="00A1586E" w:rsidRPr="00744A3E">
              <w:rPr>
                <w:rFonts w:ascii="Avenir Next" w:hAnsi="Avenir Next"/>
                <w:color w:val="000000"/>
                <w:sz w:val="20"/>
                <w:szCs w:val="20"/>
                <w:lang w:val="pt-BR"/>
              </w:rPr>
              <w:t>plataformas ou equivalentes estão claramente articulados e documentados? (ou seja, termos de referência adotados e endossados)</w:t>
            </w:r>
          </w:p>
          <w:p w14:paraId="65FF9DD1" w14:textId="77777777" w:rsidR="003A7D40" w:rsidRPr="00744A3E" w:rsidRDefault="003A7D40" w:rsidP="00CE0AF6">
            <w:pPr>
              <w:pStyle w:val="ListParagraph"/>
              <w:rPr>
                <w:rFonts w:ascii="Avenir Next" w:hAnsi="Avenir Next"/>
                <w:sz w:val="20"/>
                <w:szCs w:val="20"/>
                <w:lang w:val="pt-BR"/>
              </w:rPr>
            </w:pPr>
          </w:p>
        </w:tc>
        <w:tc>
          <w:tcPr>
            <w:tcW w:w="2293" w:type="dxa"/>
          </w:tcPr>
          <w:p w14:paraId="1A563BD0" w14:textId="77777777" w:rsidR="003A7D40" w:rsidRPr="00744A3E" w:rsidRDefault="003A7D40" w:rsidP="00CE0AF6">
            <w:pPr>
              <w:jc w:val="center"/>
              <w:rPr>
                <w:rFonts w:ascii="Avenir Next" w:hAnsi="Avenir Next"/>
                <w:sz w:val="20"/>
                <w:szCs w:val="20"/>
                <w:lang w:val="pt-BR"/>
              </w:rPr>
            </w:pPr>
          </w:p>
        </w:tc>
        <w:tc>
          <w:tcPr>
            <w:tcW w:w="4292" w:type="dxa"/>
          </w:tcPr>
          <w:p w14:paraId="794148B7" w14:textId="77777777" w:rsidR="003A7D40" w:rsidRPr="00744A3E" w:rsidRDefault="003A7D40" w:rsidP="00CE0AF6">
            <w:pPr>
              <w:jc w:val="center"/>
              <w:rPr>
                <w:rFonts w:ascii="Avenir Next" w:hAnsi="Avenir Next"/>
                <w:sz w:val="20"/>
                <w:szCs w:val="20"/>
                <w:lang w:val="pt-BR"/>
              </w:rPr>
            </w:pPr>
          </w:p>
        </w:tc>
        <w:tc>
          <w:tcPr>
            <w:tcW w:w="3524" w:type="dxa"/>
          </w:tcPr>
          <w:p w14:paraId="588F907C" w14:textId="77777777" w:rsidR="003A7D40" w:rsidRPr="00744A3E" w:rsidRDefault="003A7D40" w:rsidP="00CE0AF6">
            <w:pPr>
              <w:jc w:val="center"/>
              <w:rPr>
                <w:rFonts w:ascii="Avenir Next" w:hAnsi="Avenir Next"/>
                <w:b/>
                <w:bCs/>
                <w:sz w:val="20"/>
                <w:szCs w:val="20"/>
                <w:lang w:val="pt-BR"/>
              </w:rPr>
            </w:pPr>
          </w:p>
        </w:tc>
      </w:tr>
      <w:tr w:rsidR="003A7D40" w:rsidRPr="00744A3E" w14:paraId="5AC04D38" w14:textId="77777777" w:rsidTr="000B4DB3">
        <w:tc>
          <w:tcPr>
            <w:tcW w:w="4203" w:type="dxa"/>
          </w:tcPr>
          <w:p w14:paraId="19823346" w14:textId="084AEB30" w:rsidR="003A7D40" w:rsidRPr="00744A3E" w:rsidRDefault="00A1586E" w:rsidP="003A7D40">
            <w:pPr>
              <w:pStyle w:val="ListParagraph"/>
              <w:numPr>
                <w:ilvl w:val="0"/>
                <w:numId w:val="14"/>
              </w:numPr>
              <w:rPr>
                <w:rFonts w:ascii="Avenir Next" w:hAnsi="Avenir Next"/>
                <w:sz w:val="20"/>
                <w:szCs w:val="20"/>
                <w:lang w:val="pt-BR"/>
              </w:rPr>
            </w:pPr>
            <w:r w:rsidRPr="00744A3E">
              <w:rPr>
                <w:rFonts w:ascii="Avenir Next" w:hAnsi="Avenir Next"/>
                <w:color w:val="000000"/>
                <w:sz w:val="20"/>
                <w:szCs w:val="20"/>
                <w:lang w:val="pt-BR"/>
              </w:rPr>
              <w:t xml:space="preserve">O plano de engajamento define claramente como o processo de </w:t>
            </w:r>
            <w:r w:rsidRPr="00744A3E">
              <w:rPr>
                <w:rFonts w:ascii="Avenir Next" w:hAnsi="Avenir Next"/>
                <w:color w:val="000000"/>
                <w:sz w:val="20"/>
                <w:szCs w:val="20"/>
                <w:lang w:val="pt-BR"/>
              </w:rPr>
              <w:lastRenderedPageBreak/>
              <w:t>engajamento será conduzido e como os resultados serão utilizados, incluindo os direitos e responsabilidades das diferentes partes interessadas?</w:t>
            </w:r>
          </w:p>
          <w:p w14:paraId="32F5B98E" w14:textId="77777777" w:rsidR="003A7D40" w:rsidRPr="00744A3E" w:rsidRDefault="003A7D40" w:rsidP="00CE0AF6">
            <w:pPr>
              <w:pStyle w:val="ListParagraph"/>
              <w:rPr>
                <w:rFonts w:ascii="Avenir Next" w:hAnsi="Avenir Next"/>
                <w:sz w:val="20"/>
                <w:szCs w:val="20"/>
                <w:lang w:val="pt-BR"/>
              </w:rPr>
            </w:pPr>
          </w:p>
        </w:tc>
        <w:tc>
          <w:tcPr>
            <w:tcW w:w="2293" w:type="dxa"/>
          </w:tcPr>
          <w:p w14:paraId="17DC4E1C" w14:textId="77777777" w:rsidR="003A7D40" w:rsidRPr="00744A3E" w:rsidRDefault="003A7D40" w:rsidP="00CE0AF6">
            <w:pPr>
              <w:jc w:val="center"/>
              <w:rPr>
                <w:rFonts w:ascii="Avenir Next" w:hAnsi="Avenir Next"/>
                <w:sz w:val="20"/>
                <w:szCs w:val="20"/>
                <w:lang w:val="pt-BR"/>
              </w:rPr>
            </w:pPr>
          </w:p>
        </w:tc>
        <w:tc>
          <w:tcPr>
            <w:tcW w:w="4292" w:type="dxa"/>
          </w:tcPr>
          <w:p w14:paraId="79AD539F" w14:textId="77777777" w:rsidR="003A7D40" w:rsidRPr="00744A3E" w:rsidRDefault="003A7D40" w:rsidP="00CE0AF6">
            <w:pPr>
              <w:jc w:val="center"/>
              <w:rPr>
                <w:rFonts w:ascii="Avenir Next" w:hAnsi="Avenir Next"/>
                <w:sz w:val="20"/>
                <w:szCs w:val="20"/>
                <w:lang w:val="pt-BR"/>
              </w:rPr>
            </w:pPr>
          </w:p>
        </w:tc>
        <w:tc>
          <w:tcPr>
            <w:tcW w:w="3524" w:type="dxa"/>
          </w:tcPr>
          <w:p w14:paraId="096DF799" w14:textId="77777777" w:rsidR="003A7D40" w:rsidRPr="00744A3E" w:rsidRDefault="003A7D40" w:rsidP="00CE0AF6">
            <w:pPr>
              <w:jc w:val="center"/>
              <w:rPr>
                <w:rFonts w:ascii="Avenir Next" w:hAnsi="Avenir Next"/>
                <w:b/>
                <w:bCs/>
                <w:sz w:val="20"/>
                <w:szCs w:val="20"/>
                <w:lang w:val="pt-BR"/>
              </w:rPr>
            </w:pPr>
          </w:p>
        </w:tc>
      </w:tr>
      <w:tr w:rsidR="003A7D40" w:rsidRPr="00744A3E" w14:paraId="69297712" w14:textId="77777777" w:rsidTr="000B4DB3">
        <w:tc>
          <w:tcPr>
            <w:tcW w:w="4203" w:type="dxa"/>
          </w:tcPr>
          <w:p w14:paraId="1E5F56BB" w14:textId="1662AE2C" w:rsidR="003A7D40" w:rsidRPr="00744A3E" w:rsidRDefault="00A1586E" w:rsidP="003A7D40">
            <w:pPr>
              <w:pStyle w:val="ListParagraph"/>
              <w:numPr>
                <w:ilvl w:val="0"/>
                <w:numId w:val="14"/>
              </w:numPr>
              <w:rPr>
                <w:rFonts w:ascii="Avenir Next" w:hAnsi="Avenir Next"/>
                <w:sz w:val="20"/>
                <w:szCs w:val="20"/>
                <w:lang w:val="pt-BR"/>
              </w:rPr>
            </w:pPr>
            <w:r w:rsidRPr="00744A3E">
              <w:rPr>
                <w:rFonts w:ascii="Avenir Next" w:hAnsi="Avenir Next"/>
                <w:color w:val="000000"/>
                <w:sz w:val="20"/>
                <w:szCs w:val="20"/>
                <w:lang w:val="pt-BR"/>
              </w:rPr>
              <w:t>O plano de engajamento de partes interessadas estabelece a manutenção de registros de reuniões e atividades de engajamento que reconheçam as perspectivas das pessoas e detalhem quaisquer acordos e cronogramas para a realização das tarefas?</w:t>
            </w:r>
          </w:p>
          <w:p w14:paraId="4A8F014D" w14:textId="77777777" w:rsidR="003A7D40" w:rsidRPr="00744A3E" w:rsidRDefault="003A7D40" w:rsidP="00CE0AF6">
            <w:pPr>
              <w:pStyle w:val="ListParagraph"/>
              <w:rPr>
                <w:rFonts w:ascii="Avenir Next" w:hAnsi="Avenir Next"/>
                <w:sz w:val="20"/>
                <w:szCs w:val="20"/>
                <w:lang w:val="pt-BR"/>
              </w:rPr>
            </w:pPr>
          </w:p>
        </w:tc>
        <w:tc>
          <w:tcPr>
            <w:tcW w:w="2293" w:type="dxa"/>
          </w:tcPr>
          <w:p w14:paraId="6B31B7BE" w14:textId="77777777" w:rsidR="003A7D40" w:rsidRPr="00744A3E" w:rsidRDefault="003A7D40" w:rsidP="00CE0AF6">
            <w:pPr>
              <w:jc w:val="center"/>
              <w:rPr>
                <w:rFonts w:ascii="Avenir Next" w:hAnsi="Avenir Next"/>
                <w:sz w:val="20"/>
                <w:szCs w:val="20"/>
                <w:lang w:val="pt-BR"/>
              </w:rPr>
            </w:pPr>
          </w:p>
        </w:tc>
        <w:tc>
          <w:tcPr>
            <w:tcW w:w="4292" w:type="dxa"/>
          </w:tcPr>
          <w:p w14:paraId="6D62ECE1" w14:textId="77777777" w:rsidR="003A7D40" w:rsidRPr="00744A3E" w:rsidRDefault="003A7D40" w:rsidP="00CE0AF6">
            <w:pPr>
              <w:jc w:val="center"/>
              <w:rPr>
                <w:rFonts w:ascii="Avenir Next" w:hAnsi="Avenir Next"/>
                <w:sz w:val="20"/>
                <w:szCs w:val="20"/>
                <w:lang w:val="pt-BR"/>
              </w:rPr>
            </w:pPr>
          </w:p>
        </w:tc>
        <w:tc>
          <w:tcPr>
            <w:tcW w:w="3524" w:type="dxa"/>
          </w:tcPr>
          <w:p w14:paraId="0726737F" w14:textId="77777777" w:rsidR="003A7D40" w:rsidRPr="00744A3E" w:rsidRDefault="003A7D40" w:rsidP="00CE0AF6">
            <w:pPr>
              <w:jc w:val="center"/>
              <w:rPr>
                <w:rFonts w:ascii="Avenir Next" w:hAnsi="Avenir Next"/>
                <w:b/>
                <w:bCs/>
                <w:sz w:val="20"/>
                <w:szCs w:val="20"/>
                <w:lang w:val="pt-BR"/>
              </w:rPr>
            </w:pPr>
          </w:p>
        </w:tc>
      </w:tr>
      <w:tr w:rsidR="003A7D40" w:rsidRPr="00744A3E" w14:paraId="0C266CEC" w14:textId="77777777" w:rsidTr="003A7D40">
        <w:tc>
          <w:tcPr>
            <w:tcW w:w="14312" w:type="dxa"/>
            <w:gridSpan w:val="4"/>
            <w:shd w:val="clear" w:color="auto" w:fill="5C6C82"/>
          </w:tcPr>
          <w:p w14:paraId="59863184" w14:textId="379E8F50" w:rsidR="003A7D40" w:rsidRPr="00744A3E" w:rsidRDefault="00A1586E" w:rsidP="00CE0AF6">
            <w:pPr>
              <w:rPr>
                <w:rFonts w:ascii="Avenir Next Ultra Light" w:hAnsi="Avenir Next Ultra Light"/>
                <w:b/>
                <w:bCs/>
                <w:color w:val="FFFFFF" w:themeColor="background1"/>
                <w:lang w:val="pt-BR"/>
              </w:rPr>
            </w:pPr>
            <w:r w:rsidRPr="00744A3E">
              <w:rPr>
                <w:rFonts w:ascii="Avenir Next Ultra Light" w:hAnsi="Avenir Next Ultra Light"/>
                <w:b/>
                <w:bCs/>
                <w:color w:val="FFFFFF" w:themeColor="background1"/>
                <w:lang w:val="pt-BR"/>
              </w:rPr>
              <w:t>Divulgação</w:t>
            </w:r>
            <w:r w:rsidR="003A7D40" w:rsidRPr="00744A3E">
              <w:rPr>
                <w:rFonts w:ascii="Avenir Next Ultra Light" w:hAnsi="Avenir Next Ultra Light"/>
                <w:b/>
                <w:bCs/>
                <w:color w:val="FFFFFF" w:themeColor="background1"/>
                <w:lang w:val="pt-BR"/>
              </w:rPr>
              <w:t xml:space="preserve"> de </w:t>
            </w:r>
            <w:r w:rsidRPr="00744A3E">
              <w:rPr>
                <w:rFonts w:ascii="Avenir Next Ultra Light" w:hAnsi="Avenir Next Ultra Light"/>
                <w:b/>
                <w:bCs/>
                <w:color w:val="FFFFFF" w:themeColor="background1"/>
                <w:lang w:val="pt-BR"/>
              </w:rPr>
              <w:t>informação</w:t>
            </w:r>
          </w:p>
        </w:tc>
      </w:tr>
      <w:tr w:rsidR="000B4DB3" w:rsidRPr="00744A3E" w14:paraId="64090635" w14:textId="77777777" w:rsidTr="000B4DB3">
        <w:tc>
          <w:tcPr>
            <w:tcW w:w="4203" w:type="dxa"/>
            <w:shd w:val="clear" w:color="auto" w:fill="A1CAD0"/>
            <w:vAlign w:val="center"/>
          </w:tcPr>
          <w:p w14:paraId="392D56A7" w14:textId="41389DCD" w:rsidR="000B4DB3" w:rsidRPr="00744A3E" w:rsidRDefault="000B4DB3" w:rsidP="000B4DB3">
            <w:pPr>
              <w:jc w:val="center"/>
              <w:rPr>
                <w:rFonts w:ascii="Bodoni 72 Book" w:hAnsi="Bodoni 72 Book"/>
                <w:sz w:val="20"/>
                <w:szCs w:val="20"/>
                <w:lang w:val="pt-BR"/>
              </w:rPr>
            </w:pPr>
            <w:r w:rsidRPr="00744A3E">
              <w:rPr>
                <w:rFonts w:ascii="Bodoni 72 Book" w:hAnsi="Bodoni 72 Book"/>
                <w:sz w:val="22"/>
                <w:szCs w:val="22"/>
                <w:lang w:val="pt-BR"/>
              </w:rPr>
              <w:t>Perguntas</w:t>
            </w:r>
          </w:p>
        </w:tc>
        <w:tc>
          <w:tcPr>
            <w:tcW w:w="2293" w:type="dxa"/>
            <w:shd w:val="clear" w:color="auto" w:fill="A1CAD0"/>
            <w:vAlign w:val="center"/>
          </w:tcPr>
          <w:p w14:paraId="17C3E8EA" w14:textId="77777777" w:rsidR="000B4DB3" w:rsidRPr="00744A3E" w:rsidRDefault="000B4DB3" w:rsidP="000B4DB3">
            <w:pPr>
              <w:jc w:val="center"/>
              <w:rPr>
                <w:rFonts w:ascii="Bodoni 72 Book" w:hAnsi="Bodoni 72 Book"/>
                <w:sz w:val="22"/>
                <w:szCs w:val="22"/>
                <w:lang w:val="pt-BR"/>
              </w:rPr>
            </w:pPr>
            <w:r w:rsidRPr="00744A3E">
              <w:rPr>
                <w:rFonts w:ascii="Bodoni 72 Book" w:hAnsi="Bodoni 72 Book"/>
                <w:sz w:val="22"/>
                <w:szCs w:val="22"/>
                <w:lang w:val="pt-BR"/>
              </w:rPr>
              <w:t>Pontuação</w:t>
            </w:r>
          </w:p>
          <w:p w14:paraId="1C592880" w14:textId="51CB2715" w:rsidR="000B4DB3" w:rsidRPr="00744A3E" w:rsidRDefault="000B4DB3" w:rsidP="000B4DB3">
            <w:pPr>
              <w:jc w:val="center"/>
              <w:rPr>
                <w:rFonts w:ascii="Bodoni 72 Book" w:hAnsi="Bodoni 72 Book"/>
                <w:sz w:val="20"/>
                <w:szCs w:val="20"/>
                <w:lang w:val="pt-BR"/>
              </w:rPr>
            </w:pPr>
            <w:r w:rsidRPr="00744A3E">
              <w:rPr>
                <w:rFonts w:ascii="Bodoni 72 Book" w:hAnsi="Bodoni 72 Book"/>
                <w:sz w:val="22"/>
                <w:szCs w:val="22"/>
                <w:lang w:val="pt-BR"/>
              </w:rPr>
              <w:t>(Sim/Não/Parcialmente)</w:t>
            </w:r>
          </w:p>
        </w:tc>
        <w:tc>
          <w:tcPr>
            <w:tcW w:w="4292" w:type="dxa"/>
            <w:shd w:val="clear" w:color="auto" w:fill="A1CAD0"/>
            <w:vAlign w:val="center"/>
          </w:tcPr>
          <w:p w14:paraId="23736735" w14:textId="1EA1BD6C" w:rsidR="000B4DB3" w:rsidRPr="00744A3E" w:rsidRDefault="000B4DB3" w:rsidP="000B4DB3">
            <w:pPr>
              <w:jc w:val="center"/>
              <w:rPr>
                <w:rFonts w:ascii="Bodoni 72 Book" w:hAnsi="Bodoni 72 Book"/>
                <w:sz w:val="20"/>
                <w:szCs w:val="20"/>
                <w:lang w:val="pt-BR"/>
              </w:rPr>
            </w:pPr>
            <w:r w:rsidRPr="00744A3E">
              <w:rPr>
                <w:rFonts w:ascii="Bodoni 72 Book" w:hAnsi="Bodoni 72 Book"/>
                <w:sz w:val="22"/>
                <w:szCs w:val="22"/>
                <w:lang w:val="pt-BR"/>
              </w:rPr>
              <w:t>Constatações</w:t>
            </w:r>
          </w:p>
        </w:tc>
        <w:tc>
          <w:tcPr>
            <w:tcW w:w="3524" w:type="dxa"/>
            <w:shd w:val="clear" w:color="auto" w:fill="A1CAD0"/>
            <w:vAlign w:val="center"/>
          </w:tcPr>
          <w:p w14:paraId="1D4B1248" w14:textId="37AA0BED" w:rsidR="000B4DB3" w:rsidRPr="00744A3E" w:rsidRDefault="000B4DB3" w:rsidP="000B4DB3">
            <w:pPr>
              <w:jc w:val="center"/>
              <w:rPr>
                <w:rFonts w:ascii="Bodoni 72 Book" w:hAnsi="Bodoni 72 Book"/>
                <w:sz w:val="20"/>
                <w:szCs w:val="20"/>
                <w:lang w:val="pt-BR"/>
              </w:rPr>
            </w:pPr>
            <w:r w:rsidRPr="00744A3E">
              <w:rPr>
                <w:rFonts w:ascii="Bodoni 72 Book" w:hAnsi="Bodoni 72 Book"/>
                <w:sz w:val="22"/>
                <w:szCs w:val="22"/>
                <w:lang w:val="pt-BR"/>
              </w:rPr>
              <w:t>Meios de verificação</w:t>
            </w:r>
          </w:p>
        </w:tc>
      </w:tr>
      <w:tr w:rsidR="003A7D40" w:rsidRPr="00744A3E" w14:paraId="33882422" w14:textId="77777777" w:rsidTr="000B4DB3">
        <w:tc>
          <w:tcPr>
            <w:tcW w:w="4203" w:type="dxa"/>
          </w:tcPr>
          <w:p w14:paraId="494005FB" w14:textId="022C6643" w:rsidR="003A7D40" w:rsidRPr="00744A3E" w:rsidRDefault="00744A3E" w:rsidP="003A7D40">
            <w:pPr>
              <w:pStyle w:val="ListParagraph"/>
              <w:numPr>
                <w:ilvl w:val="0"/>
                <w:numId w:val="14"/>
              </w:numPr>
              <w:rPr>
                <w:rFonts w:ascii="Avenir Next" w:hAnsi="Avenir Next"/>
                <w:sz w:val="20"/>
                <w:szCs w:val="20"/>
                <w:lang w:val="pt-BR"/>
              </w:rPr>
            </w:pPr>
            <w:r w:rsidRPr="00744A3E">
              <w:rPr>
                <w:rFonts w:ascii="Avenir Next" w:hAnsi="Avenir Next"/>
                <w:color w:val="000000"/>
                <w:sz w:val="20"/>
                <w:szCs w:val="20"/>
                <w:lang w:val="pt-BR"/>
              </w:rPr>
              <w:t>O plano de engajamento das partes interessadas da jurisdição ou outra ferramenta (por exemplo, plano de comunicação) define como informar as partes interessadas sobre a implementação das ações REDD+ e seus resultados?</w:t>
            </w:r>
          </w:p>
          <w:p w14:paraId="38324926" w14:textId="77777777" w:rsidR="003A7D40" w:rsidRPr="00744A3E" w:rsidRDefault="003A7D40" w:rsidP="00CE0AF6">
            <w:pPr>
              <w:pStyle w:val="ListParagraph"/>
              <w:rPr>
                <w:rFonts w:ascii="Avenir Next" w:hAnsi="Avenir Next"/>
                <w:sz w:val="20"/>
                <w:szCs w:val="20"/>
                <w:lang w:val="pt-BR"/>
              </w:rPr>
            </w:pPr>
          </w:p>
        </w:tc>
        <w:tc>
          <w:tcPr>
            <w:tcW w:w="2293" w:type="dxa"/>
          </w:tcPr>
          <w:p w14:paraId="7C2CFDE9" w14:textId="77777777" w:rsidR="003A7D40" w:rsidRPr="00744A3E" w:rsidRDefault="003A7D40" w:rsidP="00CE0AF6">
            <w:pPr>
              <w:rPr>
                <w:rFonts w:ascii="Avenir Next" w:hAnsi="Avenir Next"/>
                <w:sz w:val="20"/>
                <w:szCs w:val="20"/>
                <w:lang w:val="pt-BR"/>
              </w:rPr>
            </w:pPr>
          </w:p>
        </w:tc>
        <w:tc>
          <w:tcPr>
            <w:tcW w:w="4292" w:type="dxa"/>
          </w:tcPr>
          <w:p w14:paraId="6515BBF1" w14:textId="77777777" w:rsidR="003A7D40" w:rsidRPr="00744A3E" w:rsidRDefault="003A7D40" w:rsidP="00CE0AF6">
            <w:pPr>
              <w:rPr>
                <w:rFonts w:ascii="Avenir Next" w:hAnsi="Avenir Next"/>
                <w:sz w:val="20"/>
                <w:szCs w:val="20"/>
                <w:lang w:val="pt-BR"/>
              </w:rPr>
            </w:pPr>
          </w:p>
        </w:tc>
        <w:tc>
          <w:tcPr>
            <w:tcW w:w="3524" w:type="dxa"/>
          </w:tcPr>
          <w:p w14:paraId="0DD806C3" w14:textId="77777777" w:rsidR="003A7D40" w:rsidRPr="00744A3E" w:rsidRDefault="003A7D40" w:rsidP="00CE0AF6">
            <w:pPr>
              <w:rPr>
                <w:rFonts w:ascii="Avenir Next" w:hAnsi="Avenir Next"/>
                <w:sz w:val="20"/>
                <w:szCs w:val="20"/>
                <w:lang w:val="pt-BR"/>
              </w:rPr>
            </w:pPr>
          </w:p>
        </w:tc>
      </w:tr>
      <w:tr w:rsidR="003A7D40" w:rsidRPr="00744A3E" w14:paraId="6B792847" w14:textId="77777777" w:rsidTr="000B4DB3">
        <w:tc>
          <w:tcPr>
            <w:tcW w:w="4203" w:type="dxa"/>
          </w:tcPr>
          <w:p w14:paraId="08DEF629" w14:textId="0E1B936E" w:rsidR="003A7D40" w:rsidRPr="00744A3E" w:rsidRDefault="00744A3E" w:rsidP="003A7D40">
            <w:pPr>
              <w:pStyle w:val="ListParagraph"/>
              <w:numPr>
                <w:ilvl w:val="0"/>
                <w:numId w:val="14"/>
              </w:numPr>
              <w:rPr>
                <w:rFonts w:ascii="Avenir Next" w:hAnsi="Avenir Next"/>
                <w:sz w:val="20"/>
                <w:szCs w:val="20"/>
                <w:lang w:val="pt-BR"/>
              </w:rPr>
            </w:pPr>
            <w:r w:rsidRPr="00744A3E">
              <w:rPr>
                <w:rFonts w:ascii="Avenir Next" w:hAnsi="Avenir Next"/>
                <w:color w:val="000000"/>
                <w:sz w:val="20"/>
                <w:szCs w:val="20"/>
                <w:lang w:val="pt-BR"/>
              </w:rPr>
              <w:t xml:space="preserve">A informação fornecida é compreensível e contextualizada para as diferentes capacidades e idiomas das partes interessadas </w:t>
            </w:r>
            <w:r w:rsidRPr="00744A3E">
              <w:rPr>
                <w:rFonts w:ascii="Avenir Next" w:hAnsi="Avenir Next"/>
                <w:color w:val="000000"/>
                <w:sz w:val="20"/>
                <w:szCs w:val="20"/>
                <w:lang w:val="pt-BR"/>
              </w:rPr>
              <w:lastRenderedPageBreak/>
              <w:t>(por exemplo, em um formato e idioma que sejam prontamente compreensíveis e adaptados ao grupo de partes interessadas)?</w:t>
            </w:r>
          </w:p>
          <w:p w14:paraId="6C963325" w14:textId="77777777" w:rsidR="003A7D40" w:rsidRPr="00744A3E" w:rsidRDefault="003A7D40" w:rsidP="00CE0AF6">
            <w:pPr>
              <w:pStyle w:val="ListParagraph"/>
              <w:rPr>
                <w:rFonts w:ascii="Avenir Next" w:hAnsi="Avenir Next"/>
                <w:sz w:val="20"/>
                <w:szCs w:val="20"/>
                <w:lang w:val="pt-BR"/>
              </w:rPr>
            </w:pPr>
          </w:p>
        </w:tc>
        <w:tc>
          <w:tcPr>
            <w:tcW w:w="2293" w:type="dxa"/>
          </w:tcPr>
          <w:p w14:paraId="593511BE" w14:textId="77777777" w:rsidR="003A7D40" w:rsidRPr="00744A3E" w:rsidRDefault="003A7D40" w:rsidP="00CE0AF6">
            <w:pPr>
              <w:rPr>
                <w:rFonts w:ascii="Avenir Next" w:hAnsi="Avenir Next"/>
                <w:sz w:val="20"/>
                <w:szCs w:val="20"/>
                <w:lang w:val="pt-BR"/>
              </w:rPr>
            </w:pPr>
          </w:p>
        </w:tc>
        <w:tc>
          <w:tcPr>
            <w:tcW w:w="4292" w:type="dxa"/>
          </w:tcPr>
          <w:p w14:paraId="63F6973D" w14:textId="77777777" w:rsidR="003A7D40" w:rsidRPr="00744A3E" w:rsidRDefault="003A7D40" w:rsidP="00CE0AF6">
            <w:pPr>
              <w:rPr>
                <w:rFonts w:ascii="Avenir Next" w:hAnsi="Avenir Next"/>
                <w:sz w:val="20"/>
                <w:szCs w:val="20"/>
                <w:lang w:val="pt-BR"/>
              </w:rPr>
            </w:pPr>
          </w:p>
        </w:tc>
        <w:tc>
          <w:tcPr>
            <w:tcW w:w="3524" w:type="dxa"/>
          </w:tcPr>
          <w:p w14:paraId="0614EA9C" w14:textId="77777777" w:rsidR="003A7D40" w:rsidRPr="00744A3E" w:rsidRDefault="003A7D40" w:rsidP="00CE0AF6">
            <w:pPr>
              <w:rPr>
                <w:rFonts w:ascii="Avenir Next" w:hAnsi="Avenir Next"/>
                <w:sz w:val="20"/>
                <w:szCs w:val="20"/>
                <w:lang w:val="pt-BR"/>
              </w:rPr>
            </w:pPr>
          </w:p>
        </w:tc>
      </w:tr>
      <w:tr w:rsidR="003A7D40" w:rsidRPr="00744A3E" w14:paraId="6D389D8A" w14:textId="77777777" w:rsidTr="000B4DB3">
        <w:tc>
          <w:tcPr>
            <w:tcW w:w="4203" w:type="dxa"/>
          </w:tcPr>
          <w:p w14:paraId="220B222F" w14:textId="55611040" w:rsidR="003A7D40" w:rsidRPr="00744A3E" w:rsidRDefault="00744A3E" w:rsidP="003A7D40">
            <w:pPr>
              <w:pStyle w:val="ListParagraph"/>
              <w:numPr>
                <w:ilvl w:val="0"/>
                <w:numId w:val="14"/>
              </w:numPr>
              <w:rPr>
                <w:rFonts w:ascii="Avenir Next" w:hAnsi="Avenir Next"/>
                <w:sz w:val="20"/>
                <w:szCs w:val="20"/>
                <w:lang w:val="pt-BR"/>
              </w:rPr>
            </w:pPr>
            <w:r w:rsidRPr="00744A3E">
              <w:rPr>
                <w:rFonts w:ascii="Avenir Next" w:hAnsi="Avenir Next"/>
                <w:color w:val="000000"/>
                <w:sz w:val="20"/>
                <w:szCs w:val="20"/>
                <w:lang w:val="pt-BR"/>
              </w:rPr>
              <w:t>A informação é compartilhada dentro de um período razoável que permita a participação das partes interessadas de maneira informada?</w:t>
            </w:r>
          </w:p>
        </w:tc>
        <w:tc>
          <w:tcPr>
            <w:tcW w:w="2293" w:type="dxa"/>
          </w:tcPr>
          <w:p w14:paraId="202B1841" w14:textId="77777777" w:rsidR="003A7D40" w:rsidRPr="00744A3E" w:rsidRDefault="003A7D40" w:rsidP="00CE0AF6">
            <w:pPr>
              <w:rPr>
                <w:rFonts w:ascii="Avenir Next" w:hAnsi="Avenir Next"/>
                <w:sz w:val="20"/>
                <w:szCs w:val="20"/>
                <w:lang w:val="pt-BR"/>
              </w:rPr>
            </w:pPr>
          </w:p>
        </w:tc>
        <w:tc>
          <w:tcPr>
            <w:tcW w:w="4292" w:type="dxa"/>
          </w:tcPr>
          <w:p w14:paraId="304E2B6A" w14:textId="77777777" w:rsidR="003A7D40" w:rsidRPr="00744A3E" w:rsidRDefault="003A7D40" w:rsidP="00CE0AF6">
            <w:pPr>
              <w:rPr>
                <w:rFonts w:ascii="Avenir Next" w:hAnsi="Avenir Next"/>
                <w:sz w:val="20"/>
                <w:szCs w:val="20"/>
                <w:lang w:val="pt-BR"/>
              </w:rPr>
            </w:pPr>
          </w:p>
        </w:tc>
        <w:tc>
          <w:tcPr>
            <w:tcW w:w="3524" w:type="dxa"/>
          </w:tcPr>
          <w:p w14:paraId="41E44505" w14:textId="77777777" w:rsidR="003A7D40" w:rsidRPr="00744A3E" w:rsidRDefault="003A7D40" w:rsidP="00CE0AF6">
            <w:pPr>
              <w:rPr>
                <w:rFonts w:ascii="Avenir Next" w:hAnsi="Avenir Next"/>
                <w:sz w:val="20"/>
                <w:szCs w:val="20"/>
                <w:lang w:val="pt-BR"/>
              </w:rPr>
            </w:pPr>
          </w:p>
        </w:tc>
      </w:tr>
    </w:tbl>
    <w:p w14:paraId="55367D9E" w14:textId="77777777" w:rsidR="003A7D40" w:rsidRPr="006A1607" w:rsidRDefault="003A7D40">
      <w:pPr>
        <w:spacing w:before="120" w:after="120" w:line="336" w:lineRule="auto"/>
        <w:rPr>
          <w:rFonts w:ascii="IBM Plex Sans" w:eastAsia="IBM Plex Sans" w:hAnsi="IBM Plex Sans" w:cs="IBM Plex Sans"/>
          <w:color w:val="000000"/>
          <w:lang w:val="pt-BR"/>
        </w:rPr>
      </w:pPr>
    </w:p>
    <w:p w14:paraId="6F4792E7" w14:textId="77777777" w:rsidR="003A7D40" w:rsidRPr="006A1607" w:rsidRDefault="003A7D40">
      <w:pPr>
        <w:spacing w:before="120" w:after="120" w:line="336" w:lineRule="auto"/>
        <w:rPr>
          <w:rFonts w:ascii="IBM Plex Sans" w:eastAsia="IBM Plex Sans" w:hAnsi="IBM Plex Sans" w:cs="IBM Plex Sans"/>
          <w:color w:val="000000"/>
          <w:lang w:val="pt-BR"/>
        </w:rPr>
      </w:pPr>
    </w:p>
    <w:p w14:paraId="2E4C7BC6" w14:textId="77777777" w:rsidR="003A7D40" w:rsidRPr="006A1607" w:rsidRDefault="003A7D40">
      <w:pPr>
        <w:spacing w:before="120" w:after="120" w:line="336" w:lineRule="auto"/>
        <w:rPr>
          <w:rFonts w:ascii="IBM Plex Sans" w:eastAsia="IBM Plex Sans" w:hAnsi="IBM Plex Sans" w:cs="IBM Plex Sans"/>
          <w:color w:val="000000"/>
          <w:lang w:val="pt-BR"/>
        </w:rPr>
      </w:pPr>
    </w:p>
    <w:p w14:paraId="5EE2DEFD" w14:textId="77777777" w:rsidR="003A7D40" w:rsidRPr="006A1607" w:rsidRDefault="003A7D40">
      <w:pPr>
        <w:spacing w:before="120" w:after="120" w:line="336" w:lineRule="auto"/>
        <w:rPr>
          <w:rFonts w:ascii="IBM Plex Sans" w:eastAsia="IBM Plex Sans" w:hAnsi="IBM Plex Sans" w:cs="IBM Plex Sans"/>
          <w:color w:val="000000"/>
          <w:lang w:val="pt-BR"/>
        </w:rPr>
      </w:pPr>
    </w:p>
    <w:p w14:paraId="262B1592" w14:textId="77777777" w:rsidR="003A7D40" w:rsidRPr="006A1607" w:rsidRDefault="003A7D40">
      <w:pPr>
        <w:spacing w:before="120" w:after="120" w:line="336" w:lineRule="auto"/>
        <w:rPr>
          <w:rFonts w:ascii="IBM Plex Sans" w:eastAsia="IBM Plex Sans" w:hAnsi="IBM Plex Sans" w:cs="IBM Plex Sans"/>
          <w:color w:val="000000"/>
          <w:lang w:val="pt-BR"/>
        </w:rPr>
      </w:pPr>
    </w:p>
    <w:p w14:paraId="71A61999" w14:textId="40916DB8" w:rsidR="00570DB1" w:rsidRPr="006A1607" w:rsidRDefault="00000000">
      <w:pPr>
        <w:spacing w:before="120" w:after="120" w:line="336" w:lineRule="auto"/>
        <w:rPr>
          <w:lang w:val="pt-BR"/>
        </w:rPr>
      </w:pPr>
      <w:r w:rsidRPr="006A1607">
        <w:rPr>
          <w:rFonts w:ascii="IBM Plex Sans" w:eastAsia="IBM Plex Sans" w:hAnsi="IBM Plex Sans" w:cs="IBM Plex Sans"/>
          <w:color w:val="000000"/>
          <w:lang w:val="pt-BR"/>
        </w:rPr>
        <w:t xml:space="preserve"> </w:t>
      </w:r>
      <w:r w:rsidRPr="006A1607">
        <w:rPr>
          <w:rFonts w:ascii="IBM Plex Sans" w:eastAsia="IBM Plex Sans" w:hAnsi="IBM Plex Sans" w:cs="IBM Plex Sans"/>
          <w:color w:val="00646A"/>
          <w:lang w:val="pt-BR"/>
        </w:rPr>
        <w:t xml:space="preserve"> </w:t>
      </w:r>
    </w:p>
    <w:p w14:paraId="175F633B" w14:textId="77777777" w:rsidR="003A7D40" w:rsidRPr="006A1607" w:rsidRDefault="003A7D40">
      <w:pPr>
        <w:spacing w:before="120" w:after="120" w:line="336" w:lineRule="auto"/>
        <w:rPr>
          <w:rFonts w:ascii="Bodoni 72 Book" w:eastAsia="Prata" w:hAnsi="Bodoni 72 Book" w:cs="Prata"/>
          <w:color w:val="5A6C81"/>
          <w:sz w:val="64"/>
          <w:szCs w:val="64"/>
          <w:lang w:val="pt-BR"/>
        </w:rPr>
        <w:sectPr w:rsidR="003A7D40" w:rsidRPr="006A1607" w:rsidSect="007629B8">
          <w:pgSz w:w="16845" w:h="11910" w:orient="landscape"/>
          <w:pgMar w:top="1440" w:right="1440" w:bottom="1440" w:left="1440" w:header="720" w:footer="720" w:gutter="0"/>
          <w:cols w:space="720"/>
          <w:docGrid w:linePitch="326"/>
        </w:sectPr>
      </w:pPr>
    </w:p>
    <w:p w14:paraId="0C30EC76" w14:textId="266CDAD5" w:rsidR="00570DB1" w:rsidRPr="006A1607" w:rsidRDefault="00744A3E">
      <w:pPr>
        <w:spacing w:before="120" w:after="120" w:line="336" w:lineRule="auto"/>
        <w:rPr>
          <w:rFonts w:ascii="Bodoni 72 Book" w:hAnsi="Bodoni 72 Book"/>
          <w:lang w:val="pt-BR"/>
        </w:rPr>
      </w:pPr>
      <w:r w:rsidRPr="00744A3E">
        <w:rPr>
          <w:rFonts w:ascii="Bodoni 72 Book" w:eastAsia="Prata" w:hAnsi="Bodoni 72 Book" w:cs="Prata"/>
          <w:color w:val="5A6C81"/>
          <w:sz w:val="64"/>
          <w:szCs w:val="64"/>
          <w:lang w:val="pt-BR"/>
        </w:rPr>
        <w:lastRenderedPageBreak/>
        <w:t>Parte B - Modelo de Relatório para a Avaliação Qualitativa</w:t>
      </w:r>
    </w:p>
    <w:p w14:paraId="4BEC114E" w14:textId="77777777" w:rsidR="00570DB1" w:rsidRPr="006A1607" w:rsidRDefault="00570DB1">
      <w:pPr>
        <w:pBdr>
          <w:bottom w:val="single" w:sz="6" w:space="0" w:color="5B6C81"/>
        </w:pBdr>
        <w:spacing w:before="120" w:after="120" w:line="0" w:lineRule="auto"/>
        <w:rPr>
          <w:lang w:val="pt-BR"/>
        </w:rPr>
      </w:pPr>
    </w:p>
    <w:p w14:paraId="18FD192B" w14:textId="77777777" w:rsidR="00744A3E" w:rsidRDefault="00744A3E" w:rsidP="00B51B8F">
      <w:pPr>
        <w:spacing w:before="120" w:after="120" w:line="336" w:lineRule="auto"/>
        <w:rPr>
          <w:rFonts w:ascii="Avenir Next" w:eastAsia="IBM Plex Sans" w:hAnsi="Avenir Next" w:cs="IBM Plex Sans"/>
          <w:color w:val="000000"/>
          <w:sz w:val="20"/>
          <w:szCs w:val="20"/>
          <w:lang w:val="pt-BR"/>
        </w:rPr>
      </w:pPr>
      <w:r w:rsidRPr="0083311A">
        <w:rPr>
          <w:rFonts w:ascii="Avenir Next" w:eastAsia="IBM Plex Sans" w:hAnsi="Avenir Next" w:cs="IBM Plex Sans"/>
          <w:color w:val="000000"/>
          <w:sz w:val="20"/>
          <w:szCs w:val="20"/>
          <w:lang w:val="pt-BR"/>
        </w:rPr>
        <w:t xml:space="preserve">Para completar este modelo de relatório, os usuários (com o apoio de uma organização internacional especializada selecionada) devem considerar as respostas fornecidas na 'Parte A' acima. </w:t>
      </w:r>
    </w:p>
    <w:p w14:paraId="48B56195" w14:textId="47942285" w:rsidR="00744A3E" w:rsidRDefault="00744A3E" w:rsidP="00B51B8F">
      <w:pPr>
        <w:spacing w:before="120" w:after="120" w:line="336" w:lineRule="auto"/>
        <w:rPr>
          <w:rFonts w:ascii="Avenir Next" w:eastAsia="IBM Plex Sans" w:hAnsi="Avenir Next" w:cs="IBM Plex Sans"/>
          <w:color w:val="000000"/>
          <w:sz w:val="20"/>
          <w:szCs w:val="20"/>
          <w:lang w:val="pt-BR"/>
        </w:rPr>
      </w:pPr>
      <w:r w:rsidRPr="0083311A">
        <w:rPr>
          <w:rFonts w:ascii="Avenir Next" w:eastAsia="IBM Plex Sans" w:hAnsi="Avenir Next" w:cs="IBM Plex Sans"/>
          <w:color w:val="000000"/>
          <w:sz w:val="20"/>
          <w:szCs w:val="20"/>
          <w:lang w:val="pt-BR"/>
        </w:rPr>
        <w:t xml:space="preserve">Ao completar este modelo, os usuários </w:t>
      </w:r>
      <w:r>
        <w:rPr>
          <w:rFonts w:ascii="Avenir Next" w:eastAsia="IBM Plex Sans" w:hAnsi="Avenir Next" w:cs="IBM Plex Sans"/>
          <w:color w:val="000000"/>
          <w:sz w:val="20"/>
          <w:szCs w:val="20"/>
          <w:lang w:val="pt-BR"/>
        </w:rPr>
        <w:t>devem</w:t>
      </w:r>
      <w:r w:rsidRPr="0083311A">
        <w:rPr>
          <w:rFonts w:ascii="Avenir Next" w:eastAsia="IBM Plex Sans" w:hAnsi="Avenir Next" w:cs="IBM Plex Sans"/>
          <w:color w:val="000000"/>
          <w:sz w:val="20"/>
          <w:szCs w:val="20"/>
          <w:lang w:val="pt-BR"/>
        </w:rPr>
        <w:t xml:space="preserve"> considerar o escopo de cada coluna da seguinte forma:</w:t>
      </w:r>
      <w:r>
        <w:rPr>
          <w:rFonts w:ascii="Avenir Next" w:eastAsia="IBM Plex Sans" w:hAnsi="Avenir Next" w:cs="IBM Plex Sans"/>
          <w:color w:val="000000"/>
          <w:sz w:val="20"/>
          <w:szCs w:val="20"/>
          <w:lang w:val="pt-BR"/>
        </w:rPr>
        <w:t xml:space="preserve"> </w:t>
      </w:r>
    </w:p>
    <w:p w14:paraId="716D7D8C" w14:textId="1AC92E42" w:rsidR="00744A3E" w:rsidRPr="005D0DB2" w:rsidRDefault="00744A3E" w:rsidP="00744A3E">
      <w:pPr>
        <w:pStyle w:val="ListParagraph"/>
        <w:numPr>
          <w:ilvl w:val="0"/>
          <w:numId w:val="19"/>
        </w:numPr>
        <w:spacing w:before="120" w:after="120" w:line="336" w:lineRule="auto"/>
        <w:rPr>
          <w:rFonts w:ascii="Avenir Next" w:eastAsia="IBM Plex Sans" w:hAnsi="Avenir Next" w:cs="IBM Plex Sans"/>
          <w:color w:val="000000"/>
          <w:sz w:val="20"/>
          <w:szCs w:val="20"/>
          <w:lang w:val="pt-BR"/>
        </w:rPr>
      </w:pPr>
      <w:r w:rsidRPr="005D0DB2">
        <w:rPr>
          <w:rFonts w:ascii="Avenir Next" w:eastAsia="IBM Plex Sans" w:hAnsi="Avenir Next" w:cs="IBM Plex Sans"/>
          <w:color w:val="000000"/>
          <w:sz w:val="20"/>
          <w:szCs w:val="20"/>
          <w:lang w:val="pt-BR"/>
        </w:rPr>
        <w:t>Coluna 2 (Lacunas Identificadas): para os usuários identificarem e resumirem as principais lacunas (questões de não conformidade) identificadas em correlação com</w:t>
      </w:r>
      <w:r>
        <w:rPr>
          <w:rFonts w:ascii="Avenir Next" w:eastAsia="IBM Plex Sans" w:hAnsi="Avenir Next" w:cs="IBM Plex Sans"/>
          <w:color w:val="000000"/>
          <w:sz w:val="20"/>
          <w:szCs w:val="20"/>
          <w:lang w:val="pt-BR"/>
        </w:rPr>
        <w:t xml:space="preserve"> cada uma das melhores práticas internacionais, </w:t>
      </w:r>
      <w:r w:rsidRPr="005D0DB2">
        <w:rPr>
          <w:rFonts w:ascii="Avenir Next" w:eastAsia="IBM Plex Sans" w:hAnsi="Avenir Next" w:cs="IBM Plex Sans"/>
          <w:color w:val="000000"/>
          <w:sz w:val="20"/>
          <w:szCs w:val="20"/>
          <w:lang w:val="pt-BR"/>
        </w:rPr>
        <w:t xml:space="preserve">ou seja, quando a pontuação identificada foi 'Parcialmente' ou 'Não' na 'Parte A'. </w:t>
      </w:r>
    </w:p>
    <w:p w14:paraId="10765DB2" w14:textId="77777777" w:rsidR="00744A3E" w:rsidRPr="0053057B" w:rsidRDefault="00744A3E" w:rsidP="00744A3E">
      <w:pPr>
        <w:pStyle w:val="ListParagraph"/>
        <w:numPr>
          <w:ilvl w:val="0"/>
          <w:numId w:val="18"/>
        </w:numPr>
        <w:spacing w:before="120" w:after="120" w:line="336" w:lineRule="auto"/>
        <w:rPr>
          <w:rFonts w:ascii="Avenir Next" w:eastAsia="IBM Plex Sans" w:hAnsi="Avenir Next" w:cs="IBM Plex Sans"/>
          <w:color w:val="000000"/>
          <w:sz w:val="20"/>
          <w:szCs w:val="20"/>
          <w:lang w:val="pt-BR"/>
        </w:rPr>
      </w:pPr>
      <w:r w:rsidRPr="0083311A">
        <w:rPr>
          <w:rFonts w:ascii="Avenir Next" w:eastAsia="IBM Plex Sans" w:hAnsi="Avenir Next" w:cs="IBM Plex Sans"/>
          <w:color w:val="000000"/>
          <w:sz w:val="20"/>
          <w:szCs w:val="20"/>
          <w:lang w:val="pt-BR"/>
        </w:rPr>
        <w:t>Coluna 3 (Recomendações): para os usuários identificarem ações/recomendações a serem tomadas para resolver essas principais deficiências ou lacunas.</w:t>
      </w:r>
      <w:r>
        <w:rPr>
          <w:rFonts w:ascii="Avenir Next" w:eastAsia="IBM Plex Sans" w:hAnsi="Avenir Next" w:cs="IBM Plex Sans"/>
          <w:color w:val="000000"/>
          <w:sz w:val="20"/>
          <w:szCs w:val="20"/>
          <w:lang w:val="pt-BR"/>
        </w:rPr>
        <w:t xml:space="preserve">  </w:t>
      </w:r>
    </w:p>
    <w:tbl>
      <w:tblPr>
        <w:tblStyle w:val="TableGrid"/>
        <w:tblW w:w="13948" w:type="dxa"/>
        <w:tblBorders>
          <w:top w:val="single" w:sz="6" w:space="0" w:color="5C6C82"/>
          <w:left w:val="single" w:sz="6" w:space="0" w:color="5C6C82"/>
          <w:bottom w:val="single" w:sz="6" w:space="0" w:color="5C6C82"/>
          <w:right w:val="single" w:sz="6" w:space="0" w:color="5C6C82"/>
          <w:insideH w:val="single" w:sz="6" w:space="0" w:color="5C6C82"/>
          <w:insideV w:val="single" w:sz="6" w:space="0" w:color="5C6C82"/>
        </w:tblBorders>
        <w:tblLook w:val="04A0" w:firstRow="1" w:lastRow="0" w:firstColumn="1" w:lastColumn="0" w:noHBand="0" w:noVBand="1"/>
      </w:tblPr>
      <w:tblGrid>
        <w:gridCol w:w="4050"/>
        <w:gridCol w:w="5085"/>
        <w:gridCol w:w="4813"/>
      </w:tblGrid>
      <w:tr w:rsidR="003A7D40" w:rsidRPr="006A1607" w14:paraId="3BFC6423" w14:textId="77777777" w:rsidTr="003A7D40">
        <w:trPr>
          <w:trHeight w:val="399"/>
        </w:trPr>
        <w:tc>
          <w:tcPr>
            <w:tcW w:w="4050" w:type="dxa"/>
            <w:shd w:val="clear" w:color="auto" w:fill="5C6C82"/>
            <w:vAlign w:val="center"/>
          </w:tcPr>
          <w:p w14:paraId="48697EC7" w14:textId="43145A5B" w:rsidR="003A7D40" w:rsidRPr="006A1607" w:rsidRDefault="003A7D40" w:rsidP="003A7D40">
            <w:pPr>
              <w:jc w:val="center"/>
              <w:rPr>
                <w:rFonts w:ascii="Bodoni 72 Book" w:hAnsi="Bodoni 72 Book"/>
                <w:color w:val="FFFFFF" w:themeColor="background1"/>
                <w:sz w:val="22"/>
                <w:szCs w:val="22"/>
                <w:lang w:val="pt-BR"/>
              </w:rPr>
            </w:pPr>
            <w:r w:rsidRPr="006A1607">
              <w:rPr>
                <w:rFonts w:ascii="Bodoni 72 Book" w:hAnsi="Bodoni 72 Book"/>
                <w:color w:val="FFFFFF" w:themeColor="background1"/>
                <w:sz w:val="22"/>
                <w:szCs w:val="22"/>
                <w:lang w:val="pt-BR"/>
              </w:rPr>
              <w:t>Me</w:t>
            </w:r>
            <w:r w:rsidR="00744A3E">
              <w:rPr>
                <w:rFonts w:ascii="Bodoni 72 Book" w:hAnsi="Bodoni 72 Book"/>
                <w:color w:val="FFFFFF" w:themeColor="background1"/>
                <w:sz w:val="22"/>
                <w:szCs w:val="22"/>
                <w:lang w:val="pt-BR"/>
              </w:rPr>
              <w:t>lhor</w:t>
            </w:r>
            <w:r w:rsidRPr="006A1607">
              <w:rPr>
                <w:rFonts w:ascii="Bodoni 72 Book" w:hAnsi="Bodoni 72 Book"/>
                <w:color w:val="FFFFFF" w:themeColor="background1"/>
                <w:sz w:val="22"/>
                <w:szCs w:val="22"/>
                <w:lang w:val="pt-BR"/>
              </w:rPr>
              <w:t xml:space="preserve">es </w:t>
            </w:r>
            <w:r w:rsidR="00744A3E" w:rsidRPr="006A1607">
              <w:rPr>
                <w:rFonts w:ascii="Bodoni 72 Book" w:hAnsi="Bodoni 72 Book"/>
                <w:color w:val="FFFFFF" w:themeColor="background1"/>
                <w:sz w:val="22"/>
                <w:szCs w:val="22"/>
                <w:lang w:val="pt-BR"/>
              </w:rPr>
              <w:t>práticas</w:t>
            </w:r>
            <w:r w:rsidRPr="006A1607">
              <w:rPr>
                <w:rFonts w:ascii="Bodoni 72 Book" w:hAnsi="Bodoni 72 Book"/>
                <w:color w:val="FFFFFF" w:themeColor="background1"/>
                <w:sz w:val="22"/>
                <w:szCs w:val="22"/>
                <w:lang w:val="pt-BR"/>
              </w:rPr>
              <w:t xml:space="preserve"> internaciona</w:t>
            </w:r>
            <w:r w:rsidR="00744A3E">
              <w:rPr>
                <w:rFonts w:ascii="Bodoni 72 Book" w:hAnsi="Bodoni 72 Book"/>
                <w:color w:val="FFFFFF" w:themeColor="background1"/>
                <w:sz w:val="22"/>
                <w:szCs w:val="22"/>
                <w:lang w:val="pt-BR"/>
              </w:rPr>
              <w:t>i</w:t>
            </w:r>
            <w:r w:rsidRPr="006A1607">
              <w:rPr>
                <w:rFonts w:ascii="Bodoni 72 Book" w:hAnsi="Bodoni 72 Book"/>
                <w:color w:val="FFFFFF" w:themeColor="background1"/>
                <w:sz w:val="22"/>
                <w:szCs w:val="22"/>
                <w:lang w:val="pt-BR"/>
              </w:rPr>
              <w:t>s</w:t>
            </w:r>
          </w:p>
        </w:tc>
        <w:tc>
          <w:tcPr>
            <w:tcW w:w="5085" w:type="dxa"/>
            <w:shd w:val="clear" w:color="auto" w:fill="5C6C82"/>
            <w:vAlign w:val="center"/>
          </w:tcPr>
          <w:p w14:paraId="1231773B" w14:textId="36D82337" w:rsidR="003A7D40" w:rsidRPr="006A1607" w:rsidRDefault="00744A3E" w:rsidP="003A7D40">
            <w:pPr>
              <w:jc w:val="center"/>
              <w:rPr>
                <w:rFonts w:ascii="Bodoni 72 Book" w:hAnsi="Bodoni 72 Book"/>
                <w:color w:val="FFFFFF" w:themeColor="background1"/>
                <w:sz w:val="22"/>
                <w:szCs w:val="22"/>
                <w:lang w:val="pt-BR"/>
              </w:rPr>
            </w:pPr>
            <w:r>
              <w:rPr>
                <w:rFonts w:ascii="Bodoni 72 Book" w:hAnsi="Bodoni 72 Book"/>
                <w:color w:val="FFFFFF" w:themeColor="background1"/>
                <w:sz w:val="22"/>
                <w:szCs w:val="22"/>
                <w:lang w:val="pt-BR"/>
              </w:rPr>
              <w:t>Lacunas</w:t>
            </w:r>
            <w:r w:rsidR="003A7D40" w:rsidRPr="006A1607">
              <w:rPr>
                <w:rFonts w:ascii="Bodoni 72 Book" w:hAnsi="Bodoni 72 Book"/>
                <w:color w:val="FFFFFF" w:themeColor="background1"/>
                <w:sz w:val="22"/>
                <w:szCs w:val="22"/>
                <w:lang w:val="pt-BR"/>
              </w:rPr>
              <w:t xml:space="preserve"> identificadas</w:t>
            </w:r>
          </w:p>
        </w:tc>
        <w:tc>
          <w:tcPr>
            <w:tcW w:w="4813" w:type="dxa"/>
            <w:shd w:val="clear" w:color="auto" w:fill="5C6C82"/>
            <w:vAlign w:val="center"/>
          </w:tcPr>
          <w:p w14:paraId="0EB7CB3C" w14:textId="5E83C2E5" w:rsidR="003A7D40" w:rsidRPr="006A1607" w:rsidRDefault="00744A3E" w:rsidP="003A7D40">
            <w:pPr>
              <w:jc w:val="center"/>
              <w:rPr>
                <w:rFonts w:ascii="Bodoni 72 Book" w:hAnsi="Bodoni 72 Book"/>
                <w:color w:val="FFFFFF" w:themeColor="background1"/>
                <w:sz w:val="22"/>
                <w:szCs w:val="22"/>
                <w:lang w:val="pt-BR"/>
              </w:rPr>
            </w:pPr>
            <w:r w:rsidRPr="006A1607">
              <w:rPr>
                <w:rFonts w:ascii="Bodoni 72 Book" w:hAnsi="Bodoni 72 Book"/>
                <w:color w:val="FFFFFF" w:themeColor="background1"/>
                <w:sz w:val="22"/>
                <w:szCs w:val="22"/>
                <w:lang w:val="pt-BR"/>
              </w:rPr>
              <w:t>Recomendações</w:t>
            </w:r>
          </w:p>
        </w:tc>
      </w:tr>
      <w:tr w:rsidR="003A7D40" w:rsidRPr="006A1607" w14:paraId="348FD812" w14:textId="77777777" w:rsidTr="003A7D40">
        <w:trPr>
          <w:trHeight w:val="300"/>
        </w:trPr>
        <w:tc>
          <w:tcPr>
            <w:tcW w:w="4050" w:type="dxa"/>
            <w:shd w:val="clear" w:color="auto" w:fill="A1CAD0"/>
            <w:vAlign w:val="center"/>
          </w:tcPr>
          <w:p w14:paraId="5C9A540D" w14:textId="15792C38" w:rsidR="003A7D40" w:rsidRPr="006A1607" w:rsidRDefault="00744A3E" w:rsidP="003A7D40">
            <w:pPr>
              <w:widowControl w:val="0"/>
              <w:autoSpaceDE w:val="0"/>
              <w:autoSpaceDN w:val="0"/>
              <w:spacing w:before="67"/>
              <w:rPr>
                <w:rFonts w:ascii="Avenir Next" w:hAnsi="Avenir Next"/>
                <w:sz w:val="20"/>
                <w:szCs w:val="20"/>
                <w:lang w:val="pt-BR"/>
              </w:rPr>
            </w:pPr>
            <w:r w:rsidRPr="006A1607">
              <w:rPr>
                <w:rFonts w:ascii="Avenir Next" w:hAnsi="Avenir Next"/>
                <w:sz w:val="20"/>
                <w:szCs w:val="20"/>
                <w:lang w:val="pt-BR"/>
              </w:rPr>
              <w:t>Identificação</w:t>
            </w:r>
            <w:r w:rsidR="003A7D40" w:rsidRPr="006A1607">
              <w:rPr>
                <w:rFonts w:ascii="Avenir Next" w:hAnsi="Avenir Next"/>
                <w:sz w:val="20"/>
                <w:szCs w:val="20"/>
                <w:lang w:val="pt-BR"/>
              </w:rPr>
              <w:t xml:space="preserve"> </w:t>
            </w:r>
            <w:r>
              <w:rPr>
                <w:rFonts w:ascii="Avenir Next" w:hAnsi="Avenir Next"/>
                <w:sz w:val="20"/>
                <w:szCs w:val="20"/>
                <w:lang w:val="pt-BR"/>
              </w:rPr>
              <w:t>e</w:t>
            </w:r>
            <w:r w:rsidR="003A7D40" w:rsidRPr="006A1607">
              <w:rPr>
                <w:rFonts w:ascii="Avenir Next" w:hAnsi="Avenir Next"/>
                <w:sz w:val="20"/>
                <w:szCs w:val="20"/>
                <w:lang w:val="pt-BR"/>
              </w:rPr>
              <w:t xml:space="preserve"> </w:t>
            </w:r>
            <w:r w:rsidRPr="006A1607">
              <w:rPr>
                <w:rFonts w:ascii="Avenir Next" w:hAnsi="Avenir Next"/>
                <w:sz w:val="20"/>
                <w:szCs w:val="20"/>
                <w:lang w:val="pt-BR"/>
              </w:rPr>
              <w:t>análise</w:t>
            </w:r>
            <w:r>
              <w:rPr>
                <w:rFonts w:ascii="Avenir Next" w:hAnsi="Avenir Next"/>
                <w:sz w:val="20"/>
                <w:szCs w:val="20"/>
                <w:lang w:val="pt-BR"/>
              </w:rPr>
              <w:t xml:space="preserve"> </w:t>
            </w:r>
            <w:r w:rsidR="003A7D40" w:rsidRPr="006A1607">
              <w:rPr>
                <w:rFonts w:ascii="Avenir Next" w:hAnsi="Avenir Next"/>
                <w:sz w:val="20"/>
                <w:szCs w:val="20"/>
                <w:lang w:val="pt-BR"/>
              </w:rPr>
              <w:t>d</w:t>
            </w:r>
            <w:r>
              <w:rPr>
                <w:rFonts w:ascii="Avenir Next" w:hAnsi="Avenir Next"/>
                <w:sz w:val="20"/>
                <w:szCs w:val="20"/>
                <w:lang w:val="pt-BR"/>
              </w:rPr>
              <w:t>as</w:t>
            </w:r>
            <w:r w:rsidR="003A7D40" w:rsidRPr="006A1607">
              <w:rPr>
                <w:rFonts w:ascii="Avenir Next" w:hAnsi="Avenir Next"/>
                <w:sz w:val="20"/>
                <w:szCs w:val="20"/>
                <w:lang w:val="pt-BR"/>
              </w:rPr>
              <w:t xml:space="preserve"> partes </w:t>
            </w:r>
            <w:r w:rsidRPr="006A1607">
              <w:rPr>
                <w:rFonts w:ascii="Avenir Next" w:hAnsi="Avenir Next"/>
                <w:sz w:val="20"/>
                <w:szCs w:val="20"/>
                <w:lang w:val="pt-BR"/>
              </w:rPr>
              <w:t>interessadas</w:t>
            </w:r>
          </w:p>
        </w:tc>
        <w:tc>
          <w:tcPr>
            <w:tcW w:w="5085" w:type="dxa"/>
          </w:tcPr>
          <w:p w14:paraId="27975F8D" w14:textId="77777777" w:rsidR="003A7D40" w:rsidRPr="006A1607" w:rsidRDefault="003A7D40" w:rsidP="00CE0AF6">
            <w:pPr>
              <w:rPr>
                <w:lang w:val="pt-BR"/>
              </w:rPr>
            </w:pPr>
          </w:p>
        </w:tc>
        <w:tc>
          <w:tcPr>
            <w:tcW w:w="4813" w:type="dxa"/>
          </w:tcPr>
          <w:p w14:paraId="75395C1E" w14:textId="77777777" w:rsidR="003A7D40" w:rsidRPr="006A1607" w:rsidRDefault="003A7D40" w:rsidP="00CE0AF6">
            <w:pPr>
              <w:rPr>
                <w:lang w:val="pt-BR"/>
              </w:rPr>
            </w:pPr>
          </w:p>
        </w:tc>
      </w:tr>
      <w:tr w:rsidR="003A7D40" w:rsidRPr="006A1607" w14:paraId="41615567" w14:textId="77777777" w:rsidTr="003A7D40">
        <w:trPr>
          <w:trHeight w:val="615"/>
        </w:trPr>
        <w:tc>
          <w:tcPr>
            <w:tcW w:w="4050" w:type="dxa"/>
            <w:shd w:val="clear" w:color="auto" w:fill="A1CAD0"/>
            <w:vAlign w:val="center"/>
          </w:tcPr>
          <w:p w14:paraId="0D60F70B" w14:textId="5FD67CFA" w:rsidR="003A7D40" w:rsidRPr="006A1607" w:rsidRDefault="003A7D40" w:rsidP="003A7D40">
            <w:pPr>
              <w:rPr>
                <w:rFonts w:ascii="Avenir Next" w:hAnsi="Avenir Next"/>
                <w:sz w:val="20"/>
                <w:szCs w:val="20"/>
                <w:lang w:val="pt-BR"/>
              </w:rPr>
            </w:pPr>
            <w:r w:rsidRPr="006A1607">
              <w:rPr>
                <w:rFonts w:ascii="Avenir Next" w:hAnsi="Avenir Next"/>
                <w:sz w:val="20"/>
                <w:szCs w:val="20"/>
                <w:lang w:val="pt-BR"/>
              </w:rPr>
              <w:t>Plan</w:t>
            </w:r>
            <w:r w:rsidR="00744A3E">
              <w:rPr>
                <w:rFonts w:ascii="Avenir Next" w:hAnsi="Avenir Next"/>
                <w:sz w:val="20"/>
                <w:szCs w:val="20"/>
                <w:lang w:val="pt-BR"/>
              </w:rPr>
              <w:t>o</w:t>
            </w:r>
            <w:r w:rsidRPr="006A1607">
              <w:rPr>
                <w:rFonts w:ascii="Avenir Next" w:hAnsi="Avenir Next"/>
                <w:sz w:val="20"/>
                <w:szCs w:val="20"/>
                <w:lang w:val="pt-BR"/>
              </w:rPr>
              <w:t xml:space="preserve"> de </w:t>
            </w:r>
            <w:r w:rsidR="00744A3E">
              <w:rPr>
                <w:rFonts w:ascii="Avenir Next" w:hAnsi="Avenir Next"/>
                <w:sz w:val="20"/>
                <w:szCs w:val="20"/>
                <w:lang w:val="pt-BR"/>
              </w:rPr>
              <w:t>engajamento das</w:t>
            </w:r>
            <w:r w:rsidRPr="006A1607">
              <w:rPr>
                <w:rFonts w:ascii="Avenir Next" w:hAnsi="Avenir Next"/>
                <w:sz w:val="20"/>
                <w:szCs w:val="20"/>
                <w:lang w:val="pt-BR"/>
              </w:rPr>
              <w:t xml:space="preserve"> partes </w:t>
            </w:r>
            <w:r w:rsidR="00744A3E" w:rsidRPr="006A1607">
              <w:rPr>
                <w:rFonts w:ascii="Avenir Next" w:hAnsi="Avenir Next"/>
                <w:sz w:val="20"/>
                <w:szCs w:val="20"/>
                <w:lang w:val="pt-BR"/>
              </w:rPr>
              <w:t>interessadas</w:t>
            </w:r>
          </w:p>
        </w:tc>
        <w:tc>
          <w:tcPr>
            <w:tcW w:w="5085" w:type="dxa"/>
          </w:tcPr>
          <w:p w14:paraId="5BF225EE" w14:textId="77777777" w:rsidR="003A7D40" w:rsidRPr="006A1607" w:rsidRDefault="003A7D40" w:rsidP="00CE0AF6">
            <w:pPr>
              <w:rPr>
                <w:lang w:val="pt-BR"/>
              </w:rPr>
            </w:pPr>
          </w:p>
        </w:tc>
        <w:tc>
          <w:tcPr>
            <w:tcW w:w="4813" w:type="dxa"/>
          </w:tcPr>
          <w:p w14:paraId="73A5F97E" w14:textId="77777777" w:rsidR="003A7D40" w:rsidRPr="006A1607" w:rsidRDefault="003A7D40" w:rsidP="00CE0AF6">
            <w:pPr>
              <w:rPr>
                <w:lang w:val="pt-BR"/>
              </w:rPr>
            </w:pPr>
          </w:p>
        </w:tc>
      </w:tr>
      <w:tr w:rsidR="003A7D40" w:rsidRPr="006A1607" w14:paraId="6BD93C0C" w14:textId="77777777" w:rsidTr="003A7D40">
        <w:trPr>
          <w:trHeight w:val="498"/>
        </w:trPr>
        <w:tc>
          <w:tcPr>
            <w:tcW w:w="4050" w:type="dxa"/>
            <w:shd w:val="clear" w:color="auto" w:fill="A1CAD0"/>
            <w:vAlign w:val="center"/>
          </w:tcPr>
          <w:p w14:paraId="4E162935" w14:textId="4C6B6298" w:rsidR="003A7D40" w:rsidRPr="006A1607" w:rsidRDefault="00744A3E" w:rsidP="003A7D40">
            <w:pPr>
              <w:rPr>
                <w:rFonts w:ascii="Avenir Next" w:hAnsi="Avenir Next"/>
                <w:sz w:val="20"/>
                <w:szCs w:val="20"/>
                <w:lang w:val="pt-BR"/>
              </w:rPr>
            </w:pPr>
            <w:r w:rsidRPr="006A1607">
              <w:rPr>
                <w:rFonts w:ascii="Avenir Next" w:hAnsi="Avenir Next"/>
                <w:sz w:val="20"/>
                <w:szCs w:val="20"/>
                <w:lang w:val="pt-BR"/>
              </w:rPr>
              <w:t>Divulgação</w:t>
            </w:r>
            <w:r w:rsidR="003A7D40" w:rsidRPr="006A1607">
              <w:rPr>
                <w:rFonts w:ascii="Avenir Next" w:hAnsi="Avenir Next"/>
                <w:sz w:val="20"/>
                <w:szCs w:val="20"/>
                <w:lang w:val="pt-BR"/>
              </w:rPr>
              <w:t xml:space="preserve"> de </w:t>
            </w:r>
            <w:r w:rsidRPr="006A1607">
              <w:rPr>
                <w:rFonts w:ascii="Avenir Next" w:hAnsi="Avenir Next"/>
                <w:sz w:val="20"/>
                <w:szCs w:val="20"/>
                <w:lang w:val="pt-BR"/>
              </w:rPr>
              <w:t>informaç</w:t>
            </w:r>
            <w:r>
              <w:rPr>
                <w:rFonts w:ascii="Avenir Next" w:hAnsi="Avenir Next"/>
                <w:sz w:val="20"/>
                <w:szCs w:val="20"/>
                <w:lang w:val="pt-BR"/>
              </w:rPr>
              <w:t>ões</w:t>
            </w:r>
          </w:p>
        </w:tc>
        <w:tc>
          <w:tcPr>
            <w:tcW w:w="5085" w:type="dxa"/>
          </w:tcPr>
          <w:p w14:paraId="4337B976" w14:textId="77777777" w:rsidR="003A7D40" w:rsidRPr="006A1607" w:rsidRDefault="003A7D40" w:rsidP="00CE0AF6">
            <w:pPr>
              <w:rPr>
                <w:lang w:val="pt-BR"/>
              </w:rPr>
            </w:pPr>
          </w:p>
        </w:tc>
        <w:tc>
          <w:tcPr>
            <w:tcW w:w="4813" w:type="dxa"/>
          </w:tcPr>
          <w:p w14:paraId="4BD2AA39" w14:textId="77777777" w:rsidR="003A7D40" w:rsidRPr="006A1607" w:rsidRDefault="003A7D40" w:rsidP="00CE0AF6">
            <w:pPr>
              <w:rPr>
                <w:lang w:val="pt-BR"/>
              </w:rPr>
            </w:pPr>
          </w:p>
        </w:tc>
      </w:tr>
      <w:tr w:rsidR="003A7D40" w:rsidRPr="006A1607" w14:paraId="1F36F7CA" w14:textId="77777777" w:rsidTr="003A7D40">
        <w:trPr>
          <w:trHeight w:val="300"/>
        </w:trPr>
        <w:tc>
          <w:tcPr>
            <w:tcW w:w="4050" w:type="dxa"/>
            <w:shd w:val="clear" w:color="auto" w:fill="A1CAD0"/>
            <w:vAlign w:val="center"/>
          </w:tcPr>
          <w:p w14:paraId="07E1956B" w14:textId="19EEB6E1" w:rsidR="003A7D40" w:rsidRPr="006A1607" w:rsidRDefault="003A7D40" w:rsidP="003A7D40">
            <w:pPr>
              <w:rPr>
                <w:rFonts w:ascii="Avenir Next" w:hAnsi="Avenir Next"/>
                <w:sz w:val="20"/>
                <w:szCs w:val="20"/>
                <w:lang w:val="pt-BR"/>
              </w:rPr>
            </w:pPr>
            <w:r w:rsidRPr="006A1607">
              <w:rPr>
                <w:rFonts w:ascii="Avenir Next" w:hAnsi="Avenir Next"/>
                <w:sz w:val="20"/>
                <w:szCs w:val="20"/>
                <w:lang w:val="pt-BR"/>
              </w:rPr>
              <w:t>Ge</w:t>
            </w:r>
            <w:r w:rsidR="00744A3E">
              <w:rPr>
                <w:rFonts w:ascii="Avenir Next" w:hAnsi="Avenir Next"/>
                <w:sz w:val="20"/>
                <w:szCs w:val="20"/>
                <w:lang w:val="pt-BR"/>
              </w:rPr>
              <w:t>r</w:t>
            </w:r>
            <w:r w:rsidRPr="006A1607">
              <w:rPr>
                <w:rFonts w:ascii="Avenir Next" w:hAnsi="Avenir Next"/>
                <w:sz w:val="20"/>
                <w:szCs w:val="20"/>
                <w:lang w:val="pt-BR"/>
              </w:rPr>
              <w:t xml:space="preserve">al </w:t>
            </w:r>
          </w:p>
        </w:tc>
        <w:tc>
          <w:tcPr>
            <w:tcW w:w="5085" w:type="dxa"/>
          </w:tcPr>
          <w:p w14:paraId="742DE37D" w14:textId="77777777" w:rsidR="003A7D40" w:rsidRPr="006A1607" w:rsidRDefault="003A7D40" w:rsidP="00CE0AF6">
            <w:pPr>
              <w:rPr>
                <w:lang w:val="pt-BR"/>
              </w:rPr>
            </w:pPr>
          </w:p>
        </w:tc>
        <w:tc>
          <w:tcPr>
            <w:tcW w:w="4813" w:type="dxa"/>
          </w:tcPr>
          <w:p w14:paraId="1F7D2667" w14:textId="77777777" w:rsidR="003A7D40" w:rsidRPr="006A1607" w:rsidRDefault="003A7D40" w:rsidP="00CE0AF6">
            <w:pPr>
              <w:rPr>
                <w:lang w:val="pt-BR"/>
              </w:rPr>
            </w:pPr>
          </w:p>
        </w:tc>
      </w:tr>
    </w:tbl>
    <w:p w14:paraId="7990EF00" w14:textId="77777777" w:rsidR="003A7D40" w:rsidRPr="006A1607" w:rsidRDefault="003A7D40" w:rsidP="003A7D40">
      <w:pPr>
        <w:spacing w:before="120" w:after="120" w:line="336" w:lineRule="auto"/>
        <w:rPr>
          <w:rFonts w:ascii="Avenir Next" w:eastAsia="IBM Plex Sans Bold" w:hAnsi="Avenir Next" w:cs="IBM Plex Sans Bold"/>
          <w:b/>
          <w:bCs/>
          <w:color w:val="00646A"/>
          <w:sz w:val="20"/>
          <w:szCs w:val="20"/>
          <w:lang w:val="pt-BR"/>
        </w:rPr>
      </w:pPr>
    </w:p>
    <w:sectPr w:rsidR="003A7D40" w:rsidRPr="006A1607" w:rsidSect="007629B8">
      <w:pgSz w:w="16845" w:h="11910" w:orient="landscape"/>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321A20" w14:textId="77777777" w:rsidR="007C2734" w:rsidRDefault="007C2734" w:rsidP="003A7D40">
      <w:r>
        <w:separator/>
      </w:r>
    </w:p>
  </w:endnote>
  <w:endnote w:type="continuationSeparator" w:id="0">
    <w:p w14:paraId="267A90D9" w14:textId="77777777" w:rsidR="007C2734" w:rsidRDefault="007C2734" w:rsidP="003A7D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4BE015F9-1894-4543-83A3-CD9F5C7CCB29}"/>
  </w:font>
  <w:font w:name="Times New Roman">
    <w:panose1 w:val="02020603050405020304"/>
    <w:charset w:val="00"/>
    <w:family w:val="roman"/>
    <w:pitch w:val="variable"/>
    <w:sig w:usb0="E0002EFF" w:usb1="C000785B" w:usb2="00000009" w:usb3="00000000" w:csb0="000001FF" w:csb1="00000000"/>
    <w:embedRegular r:id="rId2" w:fontKey="{11470DCF-ACC2-1B4D-A755-98513952372B}"/>
    <w:embedBold r:id="rId3" w:fontKey="{0C018FE6-FD36-C341-87F7-6FE68BB0D601}"/>
    <w:embedItalic r:id="rId4" w:fontKey="{9E836861-0CAF-9C4B-9ADB-F3A21C6DDF06}"/>
  </w:font>
  <w:font w:name="Courier New">
    <w:panose1 w:val="02070309020205020404"/>
    <w:charset w:val="00"/>
    <w:family w:val="modern"/>
    <w:pitch w:val="fixed"/>
    <w:sig w:usb0="E0002AFF" w:usb1="C0007843" w:usb2="00000009" w:usb3="00000000" w:csb0="000001FF" w:csb1="00000000"/>
    <w:embedRegular r:id="rId5" w:fontKey="{BFD416CC-5BAC-7946-B933-8E964888709C}"/>
  </w:font>
  <w:font w:name="Wingdings">
    <w:panose1 w:val="05000000000000000000"/>
    <w:charset w:val="4D"/>
    <w:family w:val="decorative"/>
    <w:pitch w:val="variable"/>
    <w:sig w:usb0="00000003" w:usb1="00000000" w:usb2="00000000" w:usb3="00000000" w:csb0="80000001" w:csb1="00000000"/>
    <w:embedRegular r:id="rId6" w:fontKey="{399BEC68-27A3-CF49-AE52-3CDF855EF708}"/>
  </w:font>
  <w:font w:name="Calibri">
    <w:panose1 w:val="020F0502020204030204"/>
    <w:charset w:val="00"/>
    <w:family w:val="swiss"/>
    <w:pitch w:val="variable"/>
    <w:sig w:usb0="E0002AFF" w:usb1="C000247B" w:usb2="00000009" w:usb3="00000000" w:csb0="000001FF" w:csb1="00000000"/>
    <w:embedRegular r:id="rId7" w:fontKey="{6961047D-9B06-7B48-BBE4-1A18ECEF2430}"/>
    <w:embedBold r:id="rId8" w:fontKey="{B23581D5-5A4A-E043-A516-4C29179BCF49}"/>
  </w:font>
  <w:font w:name="Bodoni 72 Book">
    <w:altName w:val="Calibri"/>
    <w:panose1 w:val="00000400000000000000"/>
    <w:charset w:val="00"/>
    <w:family w:val="auto"/>
    <w:pitch w:val="variable"/>
    <w:sig w:usb0="00000003" w:usb1="00000000" w:usb2="00000000" w:usb3="00000000" w:csb0="00000001" w:csb1="00000000"/>
    <w:embedRegular r:id="rId9" w:fontKey="{10F83B11-EACB-2041-ADD0-1C67C4096C4B}"/>
  </w:font>
  <w:font w:name="Prata">
    <w:altName w:val="Calibri"/>
    <w:panose1 w:val="020B0604020202020204"/>
    <w:charset w:val="00"/>
    <w:family w:val="auto"/>
    <w:pitch w:val="default"/>
  </w:font>
  <w:font w:name="Avenir Next">
    <w:panose1 w:val="020B0503020202020204"/>
    <w:charset w:val="00"/>
    <w:family w:val="swiss"/>
    <w:pitch w:val="variable"/>
    <w:sig w:usb0="8000002F" w:usb1="5000204A" w:usb2="00000000" w:usb3="00000000" w:csb0="0000009B" w:csb1="00000000"/>
    <w:embedRegular r:id="rId11" w:fontKey="{8836402E-B1FF-C54F-8BD4-61A32EF425B5}"/>
    <w:embedBold r:id="rId12" w:fontKey="{F2180F74-8D50-3542-AA40-0C8DD5EF7751}"/>
    <w:embedItalic r:id="rId13" w:fontKey="{04EBB874-C815-924D-858B-10480FA85D5B}"/>
  </w:font>
  <w:font w:name="Montserrat">
    <w:panose1 w:val="00000500000000000000"/>
    <w:charset w:val="4D"/>
    <w:family w:val="auto"/>
    <w:pitch w:val="variable"/>
    <w:sig w:usb0="2000020F" w:usb1="00000003" w:usb2="00000000" w:usb3="00000000" w:csb0="00000197" w:csb1="00000000"/>
    <w:embedRegular r:id="rId14" w:fontKey="{9FDC1721-BD57-8342-80A8-265CEDCB8EE6}"/>
    <w:embedBold r:id="rId15" w:fontKey="{C708097C-65CE-4547-A6D3-52059E4A1D75}"/>
    <w:embedItalic r:id="rId16" w:fontKey="{447CD32E-FFC0-4C4B-853F-83453B94C328}"/>
  </w:font>
  <w:font w:name="IBM Plex Sans">
    <w:panose1 w:val="020B0503050203000203"/>
    <w:charset w:val="00"/>
    <w:family w:val="swiss"/>
    <w:pitch w:val="variable"/>
    <w:sig w:usb0="A00002EF" w:usb1="5000207B" w:usb2="00000000" w:usb3="00000000" w:csb0="0000019F" w:csb1="00000000"/>
    <w:embedRegular r:id="rId17" w:fontKey="{F5F80BB2-3F7B-254F-8F65-2F73D10026E2}"/>
    <w:embedBold r:id="rId18" w:fontKey="{CDCD43F3-9C9B-CD4C-967D-7F3AECB6E9ED}"/>
  </w:font>
  <w:font w:name="Avenir Next Ultra Light">
    <w:panose1 w:val="020B0203020202020204"/>
    <w:charset w:val="4D"/>
    <w:family w:val="swiss"/>
    <w:pitch w:val="variable"/>
    <w:sig w:usb0="800000AF" w:usb1="5000204A" w:usb2="00000000" w:usb3="00000000" w:csb0="0000009B" w:csb1="00000000"/>
    <w:embedBold r:id="rId19" w:fontKey="{98186D9F-9AAD-3541-A645-DBD9F82E442C}"/>
  </w:font>
  <w:font w:name="IBM Plex Sans Bold">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21" w:fontKey="{179307F9-CA36-2A4A-A1D3-0FA9A5F1D73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BE45A3" w14:textId="77777777" w:rsidR="007C2734" w:rsidRDefault="007C2734" w:rsidP="003A7D40">
      <w:r>
        <w:separator/>
      </w:r>
    </w:p>
  </w:footnote>
  <w:footnote w:type="continuationSeparator" w:id="0">
    <w:p w14:paraId="4D0BD32F" w14:textId="77777777" w:rsidR="007C2734" w:rsidRDefault="007C2734" w:rsidP="003A7D40">
      <w:r>
        <w:continuationSeparator/>
      </w:r>
    </w:p>
  </w:footnote>
  <w:footnote w:id="1">
    <w:p w14:paraId="7D94CACF" w14:textId="105F05AB" w:rsidR="003A7D40" w:rsidRPr="00744A3E" w:rsidRDefault="003A7D40">
      <w:pPr>
        <w:pStyle w:val="FootnoteText"/>
        <w:rPr>
          <w:rFonts w:ascii="Avenir Next" w:hAnsi="Avenir Next"/>
          <w:sz w:val="14"/>
          <w:szCs w:val="14"/>
          <w:lang w:val="pt-BR"/>
        </w:rPr>
      </w:pPr>
      <w:r w:rsidRPr="00744A3E">
        <w:rPr>
          <w:rStyle w:val="FootnoteReference"/>
          <w:rFonts w:ascii="Avenir Next" w:hAnsi="Avenir Next"/>
          <w:sz w:val="14"/>
          <w:szCs w:val="14"/>
          <w:lang w:val="pt-BR"/>
        </w:rPr>
        <w:footnoteRef/>
      </w:r>
      <w:r w:rsidRPr="00744A3E">
        <w:rPr>
          <w:rFonts w:ascii="Avenir Next" w:hAnsi="Avenir Next"/>
          <w:sz w:val="14"/>
          <w:szCs w:val="14"/>
          <w:lang w:val="pt-BR"/>
        </w:rPr>
        <w:t xml:space="preserve"> FCPF, ONU-REDD, 2012. </w:t>
      </w:r>
      <w:proofErr w:type="spellStart"/>
      <w:r w:rsidRPr="00744A3E">
        <w:rPr>
          <w:rFonts w:ascii="Avenir Next" w:hAnsi="Avenir Next"/>
          <w:i/>
          <w:iCs/>
          <w:sz w:val="14"/>
          <w:szCs w:val="14"/>
          <w:lang w:val="pt-BR"/>
        </w:rPr>
        <w:t>Guidelines</w:t>
      </w:r>
      <w:proofErr w:type="spellEnd"/>
      <w:r w:rsidRPr="00744A3E">
        <w:rPr>
          <w:rFonts w:ascii="Avenir Next" w:hAnsi="Avenir Next"/>
          <w:i/>
          <w:iCs/>
          <w:sz w:val="14"/>
          <w:szCs w:val="14"/>
          <w:lang w:val="pt-BR"/>
        </w:rPr>
        <w:t xml:space="preserve"> </w:t>
      </w:r>
      <w:proofErr w:type="spellStart"/>
      <w:r w:rsidRPr="00744A3E">
        <w:rPr>
          <w:rFonts w:ascii="Avenir Next" w:hAnsi="Avenir Next"/>
          <w:i/>
          <w:iCs/>
          <w:sz w:val="14"/>
          <w:szCs w:val="14"/>
          <w:lang w:val="pt-BR"/>
        </w:rPr>
        <w:t>on</w:t>
      </w:r>
      <w:proofErr w:type="spellEnd"/>
      <w:r w:rsidRPr="00744A3E">
        <w:rPr>
          <w:rFonts w:ascii="Avenir Next" w:hAnsi="Avenir Next"/>
          <w:i/>
          <w:iCs/>
          <w:sz w:val="14"/>
          <w:szCs w:val="14"/>
          <w:lang w:val="pt-BR"/>
        </w:rPr>
        <w:t xml:space="preserve"> Stakeholder </w:t>
      </w:r>
      <w:proofErr w:type="spellStart"/>
      <w:r w:rsidRPr="00744A3E">
        <w:rPr>
          <w:rFonts w:ascii="Avenir Next" w:hAnsi="Avenir Next"/>
          <w:i/>
          <w:iCs/>
          <w:sz w:val="14"/>
          <w:szCs w:val="14"/>
          <w:lang w:val="pt-BR"/>
        </w:rPr>
        <w:t>Engagement</w:t>
      </w:r>
      <w:proofErr w:type="spellEnd"/>
      <w:r w:rsidRPr="00744A3E">
        <w:rPr>
          <w:rFonts w:ascii="Avenir Next" w:hAnsi="Avenir Next"/>
          <w:i/>
          <w:iCs/>
          <w:sz w:val="14"/>
          <w:szCs w:val="14"/>
          <w:lang w:val="pt-BR"/>
        </w:rPr>
        <w:t xml:space="preserve"> in REDD+ </w:t>
      </w:r>
      <w:proofErr w:type="spellStart"/>
      <w:r w:rsidRPr="00744A3E">
        <w:rPr>
          <w:rFonts w:ascii="Avenir Next" w:hAnsi="Avenir Next"/>
          <w:i/>
          <w:iCs/>
          <w:sz w:val="14"/>
          <w:szCs w:val="14"/>
          <w:lang w:val="pt-BR"/>
        </w:rPr>
        <w:t>Readiness</w:t>
      </w:r>
      <w:proofErr w:type="spellEnd"/>
      <w:r w:rsidRPr="00744A3E">
        <w:rPr>
          <w:rFonts w:ascii="Avenir Next" w:hAnsi="Avenir Next"/>
          <w:i/>
          <w:iCs/>
          <w:sz w:val="14"/>
          <w:szCs w:val="14"/>
          <w:lang w:val="pt-BR"/>
        </w:rPr>
        <w:t xml:space="preserve"> </w:t>
      </w:r>
      <w:proofErr w:type="spellStart"/>
      <w:r w:rsidRPr="00744A3E">
        <w:rPr>
          <w:rFonts w:ascii="Avenir Next" w:hAnsi="Avenir Next"/>
          <w:i/>
          <w:iCs/>
          <w:sz w:val="14"/>
          <w:szCs w:val="14"/>
          <w:lang w:val="pt-BR"/>
        </w:rPr>
        <w:t>with</w:t>
      </w:r>
      <w:proofErr w:type="spellEnd"/>
      <w:r w:rsidRPr="00744A3E">
        <w:rPr>
          <w:rFonts w:ascii="Avenir Next" w:hAnsi="Avenir Next"/>
          <w:i/>
          <w:iCs/>
          <w:sz w:val="14"/>
          <w:szCs w:val="14"/>
          <w:lang w:val="pt-BR"/>
        </w:rPr>
        <w:t xml:space="preserve"> a Focus </w:t>
      </w:r>
      <w:proofErr w:type="spellStart"/>
      <w:r w:rsidRPr="00744A3E">
        <w:rPr>
          <w:rFonts w:ascii="Avenir Next" w:hAnsi="Avenir Next"/>
          <w:i/>
          <w:iCs/>
          <w:sz w:val="14"/>
          <w:szCs w:val="14"/>
          <w:lang w:val="pt-BR"/>
        </w:rPr>
        <w:t>on</w:t>
      </w:r>
      <w:proofErr w:type="spellEnd"/>
      <w:r w:rsidRPr="00744A3E">
        <w:rPr>
          <w:rFonts w:ascii="Avenir Next" w:hAnsi="Avenir Next"/>
          <w:i/>
          <w:iCs/>
          <w:sz w:val="14"/>
          <w:szCs w:val="14"/>
          <w:lang w:val="pt-BR"/>
        </w:rPr>
        <w:t xml:space="preserve"> </w:t>
      </w:r>
      <w:proofErr w:type="spellStart"/>
      <w:r w:rsidRPr="00744A3E">
        <w:rPr>
          <w:rFonts w:ascii="Avenir Next" w:hAnsi="Avenir Next"/>
          <w:i/>
          <w:iCs/>
          <w:sz w:val="14"/>
          <w:szCs w:val="14"/>
          <w:lang w:val="pt-BR"/>
        </w:rPr>
        <w:t>the</w:t>
      </w:r>
      <w:proofErr w:type="spellEnd"/>
      <w:r w:rsidRPr="00744A3E">
        <w:rPr>
          <w:rFonts w:ascii="Avenir Next" w:hAnsi="Avenir Next"/>
          <w:i/>
          <w:iCs/>
          <w:sz w:val="14"/>
          <w:szCs w:val="14"/>
          <w:lang w:val="pt-BR"/>
        </w:rPr>
        <w:t xml:space="preserve"> </w:t>
      </w:r>
      <w:proofErr w:type="spellStart"/>
      <w:r w:rsidRPr="00744A3E">
        <w:rPr>
          <w:rFonts w:ascii="Avenir Next" w:hAnsi="Avenir Next"/>
          <w:i/>
          <w:iCs/>
          <w:sz w:val="14"/>
          <w:szCs w:val="14"/>
          <w:lang w:val="pt-BR"/>
        </w:rPr>
        <w:t>Participation</w:t>
      </w:r>
      <w:proofErr w:type="spellEnd"/>
      <w:r w:rsidRPr="00744A3E">
        <w:rPr>
          <w:rFonts w:ascii="Avenir Next" w:hAnsi="Avenir Next"/>
          <w:i/>
          <w:iCs/>
          <w:sz w:val="14"/>
          <w:szCs w:val="14"/>
          <w:lang w:val="pt-BR"/>
        </w:rPr>
        <w:t xml:space="preserve"> </w:t>
      </w:r>
      <w:proofErr w:type="spellStart"/>
      <w:r w:rsidRPr="00744A3E">
        <w:rPr>
          <w:rFonts w:ascii="Avenir Next" w:hAnsi="Avenir Next"/>
          <w:i/>
          <w:iCs/>
          <w:sz w:val="14"/>
          <w:szCs w:val="14"/>
          <w:lang w:val="pt-BR"/>
        </w:rPr>
        <w:t>of</w:t>
      </w:r>
      <w:proofErr w:type="spellEnd"/>
      <w:r w:rsidRPr="00744A3E">
        <w:rPr>
          <w:rFonts w:ascii="Avenir Next" w:hAnsi="Avenir Next"/>
          <w:i/>
          <w:iCs/>
          <w:sz w:val="14"/>
          <w:szCs w:val="14"/>
          <w:lang w:val="pt-BR"/>
        </w:rPr>
        <w:t xml:space="preserve"> </w:t>
      </w:r>
      <w:proofErr w:type="spellStart"/>
      <w:r w:rsidRPr="00744A3E">
        <w:rPr>
          <w:rFonts w:ascii="Avenir Next" w:hAnsi="Avenir Next"/>
          <w:i/>
          <w:iCs/>
          <w:sz w:val="14"/>
          <w:szCs w:val="14"/>
          <w:lang w:val="pt-BR"/>
        </w:rPr>
        <w:t>Indigenous</w:t>
      </w:r>
      <w:proofErr w:type="spellEnd"/>
      <w:r w:rsidRPr="00744A3E">
        <w:rPr>
          <w:rFonts w:ascii="Avenir Next" w:hAnsi="Avenir Next"/>
          <w:i/>
          <w:iCs/>
          <w:sz w:val="14"/>
          <w:szCs w:val="14"/>
          <w:lang w:val="pt-BR"/>
        </w:rPr>
        <w:t xml:space="preserve"> </w:t>
      </w:r>
      <w:proofErr w:type="spellStart"/>
      <w:r w:rsidRPr="00744A3E">
        <w:rPr>
          <w:rFonts w:ascii="Avenir Next" w:hAnsi="Avenir Next"/>
          <w:i/>
          <w:iCs/>
          <w:sz w:val="14"/>
          <w:szCs w:val="14"/>
          <w:lang w:val="pt-BR"/>
        </w:rPr>
        <w:t>Peoples</w:t>
      </w:r>
      <w:proofErr w:type="spellEnd"/>
      <w:r w:rsidRPr="00744A3E">
        <w:rPr>
          <w:rFonts w:ascii="Avenir Next" w:hAnsi="Avenir Next"/>
          <w:i/>
          <w:iCs/>
          <w:sz w:val="14"/>
          <w:szCs w:val="14"/>
          <w:lang w:val="pt-BR"/>
        </w:rPr>
        <w:t xml:space="preserve"> </w:t>
      </w:r>
      <w:proofErr w:type="spellStart"/>
      <w:r w:rsidRPr="00744A3E">
        <w:rPr>
          <w:rFonts w:ascii="Avenir Next" w:hAnsi="Avenir Next"/>
          <w:i/>
          <w:iCs/>
          <w:sz w:val="14"/>
          <w:szCs w:val="14"/>
          <w:lang w:val="pt-BR"/>
        </w:rPr>
        <w:t>and</w:t>
      </w:r>
      <w:proofErr w:type="spellEnd"/>
      <w:r w:rsidRPr="00744A3E">
        <w:rPr>
          <w:rFonts w:ascii="Avenir Next" w:hAnsi="Avenir Next"/>
          <w:i/>
          <w:iCs/>
          <w:sz w:val="14"/>
          <w:szCs w:val="14"/>
          <w:lang w:val="pt-BR"/>
        </w:rPr>
        <w:t xml:space="preserve"> Other Forest-</w:t>
      </w:r>
      <w:proofErr w:type="spellStart"/>
      <w:r w:rsidRPr="00744A3E">
        <w:rPr>
          <w:rFonts w:ascii="Avenir Next" w:hAnsi="Avenir Next"/>
          <w:i/>
          <w:iCs/>
          <w:sz w:val="14"/>
          <w:szCs w:val="14"/>
          <w:lang w:val="pt-BR"/>
        </w:rPr>
        <w:t>Dependent</w:t>
      </w:r>
      <w:proofErr w:type="spellEnd"/>
      <w:r w:rsidRPr="00744A3E">
        <w:rPr>
          <w:rFonts w:ascii="Avenir Next" w:hAnsi="Avenir Next"/>
          <w:i/>
          <w:iCs/>
          <w:sz w:val="14"/>
          <w:szCs w:val="14"/>
          <w:lang w:val="pt-BR"/>
        </w:rPr>
        <w:t xml:space="preserve"> </w:t>
      </w:r>
      <w:proofErr w:type="spellStart"/>
      <w:r w:rsidRPr="00744A3E">
        <w:rPr>
          <w:rFonts w:ascii="Avenir Next" w:hAnsi="Avenir Next"/>
          <w:i/>
          <w:iCs/>
          <w:sz w:val="14"/>
          <w:szCs w:val="14"/>
          <w:lang w:val="pt-BR"/>
        </w:rPr>
        <w:t>Communities</w:t>
      </w:r>
      <w:proofErr w:type="spellEnd"/>
      <w:r w:rsidRPr="00744A3E">
        <w:rPr>
          <w:rFonts w:ascii="Avenir Next" w:hAnsi="Avenir Next"/>
          <w:i/>
          <w:iCs/>
          <w:sz w:val="14"/>
          <w:szCs w:val="14"/>
          <w:lang w:val="pt-BR"/>
        </w:rPr>
        <w:t>.</w:t>
      </w:r>
      <w:r w:rsidRPr="00744A3E">
        <w:rPr>
          <w:rFonts w:ascii="Avenir Next" w:hAnsi="Avenir Next"/>
          <w:sz w:val="14"/>
          <w:szCs w:val="14"/>
          <w:lang w:val="pt-BR"/>
        </w:rPr>
        <w:t xml:space="preserve"> 2012</w:t>
      </w:r>
    </w:p>
  </w:footnote>
  <w:footnote w:id="2">
    <w:p w14:paraId="5B7444DB" w14:textId="2C29729B" w:rsidR="003A7D40" w:rsidRPr="00744A3E" w:rsidRDefault="003A7D40">
      <w:pPr>
        <w:pStyle w:val="FootnoteText"/>
        <w:rPr>
          <w:rFonts w:ascii="Avenir Next" w:hAnsi="Avenir Next"/>
          <w:sz w:val="14"/>
          <w:szCs w:val="14"/>
          <w:lang w:val="pt-BR"/>
        </w:rPr>
      </w:pPr>
      <w:r w:rsidRPr="00744A3E">
        <w:rPr>
          <w:rStyle w:val="FootnoteReference"/>
          <w:rFonts w:ascii="Avenir Next" w:hAnsi="Avenir Next"/>
          <w:sz w:val="14"/>
          <w:szCs w:val="14"/>
          <w:lang w:val="pt-BR"/>
        </w:rPr>
        <w:footnoteRef/>
      </w:r>
      <w:r w:rsidRPr="00744A3E">
        <w:rPr>
          <w:rFonts w:ascii="Avenir Next" w:hAnsi="Avenir Next"/>
          <w:sz w:val="14"/>
          <w:szCs w:val="14"/>
          <w:lang w:val="pt-BR"/>
        </w:rPr>
        <w:t xml:space="preserve"> IFC, </w:t>
      </w:r>
      <w:proofErr w:type="spellStart"/>
      <w:r w:rsidRPr="00744A3E">
        <w:rPr>
          <w:rFonts w:ascii="Avenir Next" w:hAnsi="Avenir Next"/>
          <w:sz w:val="14"/>
          <w:szCs w:val="14"/>
          <w:lang w:val="pt-BR"/>
        </w:rPr>
        <w:t>s</w:t>
      </w:r>
      <w:r w:rsidR="00744A3E" w:rsidRPr="00744A3E">
        <w:rPr>
          <w:rFonts w:ascii="Avenir Next" w:hAnsi="Avenir Next"/>
          <w:color w:val="000000"/>
          <w:sz w:val="14"/>
          <w:szCs w:val="14"/>
          <w:lang w:val="pt-BR"/>
        </w:rPr>
        <w:t>Participação</w:t>
      </w:r>
      <w:proofErr w:type="spellEnd"/>
      <w:r w:rsidR="00744A3E" w:rsidRPr="00744A3E">
        <w:rPr>
          <w:rFonts w:ascii="Avenir Next" w:hAnsi="Avenir Next"/>
          <w:color w:val="000000"/>
          <w:sz w:val="14"/>
          <w:szCs w:val="14"/>
          <w:lang w:val="pt-BR"/>
        </w:rPr>
        <w:t xml:space="preserve"> das partes interessadas, Manual de boas práticas</w:t>
      </w:r>
    </w:p>
  </w:footnote>
  <w:footnote w:id="3">
    <w:p w14:paraId="35D31323" w14:textId="1A589123" w:rsidR="003A7D40" w:rsidRPr="003A7D40" w:rsidRDefault="003A7D40">
      <w:pPr>
        <w:pStyle w:val="FootnoteText"/>
        <w:rPr>
          <w:lang w:val="en-GB"/>
        </w:rPr>
      </w:pPr>
      <w:r w:rsidRPr="00744A3E">
        <w:rPr>
          <w:rStyle w:val="FootnoteReference"/>
          <w:rFonts w:ascii="Avenir Next" w:hAnsi="Avenir Next"/>
          <w:sz w:val="14"/>
          <w:szCs w:val="14"/>
          <w:lang w:val="pt-BR"/>
        </w:rPr>
        <w:footnoteRef/>
      </w:r>
      <w:r w:rsidRPr="00744A3E">
        <w:rPr>
          <w:rFonts w:ascii="Avenir Next" w:hAnsi="Avenir Next"/>
          <w:sz w:val="14"/>
          <w:szCs w:val="14"/>
          <w:lang w:val="pt-BR"/>
        </w:rPr>
        <w:t xml:space="preserve"> GCF, </w:t>
      </w:r>
      <w:r w:rsidR="00744A3E" w:rsidRPr="00744A3E">
        <w:rPr>
          <w:rFonts w:ascii="Avenir Next" w:hAnsi="Avenir Next"/>
          <w:color w:val="000000"/>
          <w:sz w:val="14"/>
          <w:szCs w:val="14"/>
          <w:lang w:val="pt-BR"/>
        </w:rPr>
        <w:t>Nota de orientação sobre sustentabilidade: Desenho e garantia de uma participação significativa das partes interessadas nas atividades financiadas pelo GCF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54303"/>
    <w:multiLevelType w:val="hybridMultilevel"/>
    <w:tmpl w:val="0A4C7A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2B0FE5"/>
    <w:multiLevelType w:val="hybridMultilevel"/>
    <w:tmpl w:val="9DFE8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9F3C3D"/>
    <w:multiLevelType w:val="hybridMultilevel"/>
    <w:tmpl w:val="7A48986E"/>
    <w:lvl w:ilvl="0" w:tplc="2C34189C">
      <w:start w:val="1"/>
      <w:numFmt w:val="bullet"/>
      <w:lvlText w:val=""/>
      <w:lvlJc w:val="left"/>
      <w:pPr>
        <w:ind w:left="400" w:hanging="360"/>
      </w:pPr>
      <w:rPr>
        <w:rFonts w:ascii="Symbol" w:hAnsi="Symbol"/>
      </w:rPr>
    </w:lvl>
    <w:lvl w:ilvl="1" w:tplc="98D00746">
      <w:start w:val="1"/>
      <w:numFmt w:val="bullet"/>
      <w:lvlText w:val="o"/>
      <w:lvlJc w:val="left"/>
      <w:pPr>
        <w:ind w:left="800" w:hanging="360"/>
      </w:pPr>
      <w:rPr>
        <w:rFonts w:ascii="Courier New" w:hAnsi="Courier New"/>
      </w:rPr>
    </w:lvl>
    <w:lvl w:ilvl="2" w:tplc="82C41B24">
      <w:start w:val="1"/>
      <w:numFmt w:val="bullet"/>
      <w:lvlText w:val=""/>
      <w:lvlJc w:val="left"/>
      <w:pPr>
        <w:ind w:left="1200" w:hanging="360"/>
      </w:pPr>
      <w:rPr>
        <w:rFonts w:ascii="Wingdings" w:hAnsi="Wingdings"/>
      </w:rPr>
    </w:lvl>
    <w:lvl w:ilvl="3" w:tplc="A89AB962">
      <w:start w:val="1"/>
      <w:numFmt w:val="bullet"/>
      <w:lvlText w:val=""/>
      <w:lvlJc w:val="left"/>
      <w:pPr>
        <w:ind w:left="1600" w:hanging="360"/>
      </w:pPr>
      <w:rPr>
        <w:rFonts w:ascii="Symbol" w:hAnsi="Symbol"/>
      </w:rPr>
    </w:lvl>
    <w:lvl w:ilvl="4" w:tplc="6DFCE8E4">
      <w:start w:val="1"/>
      <w:numFmt w:val="bullet"/>
      <w:lvlText w:val="o"/>
      <w:lvlJc w:val="left"/>
      <w:pPr>
        <w:ind w:left="2000" w:hanging="360"/>
      </w:pPr>
      <w:rPr>
        <w:rFonts w:ascii="Courier New" w:hAnsi="Courier New"/>
      </w:rPr>
    </w:lvl>
    <w:lvl w:ilvl="5" w:tplc="33FCD4D4">
      <w:start w:val="1"/>
      <w:numFmt w:val="bullet"/>
      <w:lvlText w:val=""/>
      <w:lvlJc w:val="left"/>
      <w:pPr>
        <w:ind w:left="2400" w:hanging="360"/>
      </w:pPr>
      <w:rPr>
        <w:rFonts w:ascii="Wingdings" w:hAnsi="Wingdings"/>
      </w:rPr>
    </w:lvl>
    <w:lvl w:ilvl="6" w:tplc="83BE6EC4">
      <w:start w:val="1"/>
      <w:numFmt w:val="bullet"/>
      <w:lvlText w:val=""/>
      <w:lvlJc w:val="left"/>
      <w:pPr>
        <w:ind w:left="2800" w:hanging="360"/>
      </w:pPr>
      <w:rPr>
        <w:rFonts w:ascii="Symbol" w:hAnsi="Symbol"/>
      </w:rPr>
    </w:lvl>
    <w:lvl w:ilvl="7" w:tplc="F11C3DC6">
      <w:start w:val="1"/>
      <w:numFmt w:val="bullet"/>
      <w:lvlText w:val="o"/>
      <w:lvlJc w:val="left"/>
      <w:pPr>
        <w:ind w:left="3200" w:hanging="360"/>
      </w:pPr>
      <w:rPr>
        <w:rFonts w:ascii="Courier New" w:hAnsi="Courier New"/>
      </w:rPr>
    </w:lvl>
    <w:lvl w:ilvl="8" w:tplc="2AA2F204">
      <w:numFmt w:val="decimal"/>
      <w:lvlText w:val=""/>
      <w:lvlJc w:val="left"/>
    </w:lvl>
  </w:abstractNum>
  <w:abstractNum w:abstractNumId="3" w15:restartNumberingAfterBreak="0">
    <w:nsid w:val="2B900159"/>
    <w:multiLevelType w:val="hybridMultilevel"/>
    <w:tmpl w:val="9ECC9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571CDA"/>
    <w:multiLevelType w:val="hybridMultilevel"/>
    <w:tmpl w:val="0E88F022"/>
    <w:lvl w:ilvl="0" w:tplc="D74E53FC">
      <w:start w:val="1"/>
      <w:numFmt w:val="decimal"/>
      <w:lvlText w:val="%1."/>
      <w:lvlJc w:val="left"/>
      <w:pPr>
        <w:ind w:left="400" w:hanging="360"/>
      </w:pPr>
    </w:lvl>
    <w:lvl w:ilvl="1" w:tplc="3E46660A">
      <w:start w:val="1"/>
      <w:numFmt w:val="lowerLetter"/>
      <w:lvlText w:val="%2."/>
      <w:lvlJc w:val="left"/>
      <w:pPr>
        <w:ind w:left="800" w:hanging="360"/>
      </w:pPr>
    </w:lvl>
    <w:lvl w:ilvl="2" w:tplc="F4A02BE2">
      <w:start w:val="1"/>
      <w:numFmt w:val="lowerRoman"/>
      <w:lvlText w:val="%3."/>
      <w:lvlJc w:val="right"/>
      <w:pPr>
        <w:ind w:left="1200" w:hanging="180"/>
      </w:pPr>
    </w:lvl>
    <w:lvl w:ilvl="3" w:tplc="08889E42">
      <w:start w:val="1"/>
      <w:numFmt w:val="decimal"/>
      <w:lvlText w:val="%4."/>
      <w:lvlJc w:val="left"/>
      <w:pPr>
        <w:ind w:left="1600" w:hanging="360"/>
      </w:pPr>
    </w:lvl>
    <w:lvl w:ilvl="4" w:tplc="D47AE7CE">
      <w:start w:val="1"/>
      <w:numFmt w:val="lowerLetter"/>
      <w:lvlText w:val="%5."/>
      <w:lvlJc w:val="left"/>
      <w:pPr>
        <w:ind w:left="2000" w:hanging="360"/>
      </w:pPr>
    </w:lvl>
    <w:lvl w:ilvl="5" w:tplc="7EE0F830">
      <w:start w:val="1"/>
      <w:numFmt w:val="lowerRoman"/>
      <w:lvlText w:val="%6."/>
      <w:lvlJc w:val="right"/>
      <w:pPr>
        <w:ind w:left="2400" w:hanging="180"/>
      </w:pPr>
    </w:lvl>
    <w:lvl w:ilvl="6" w:tplc="DEB69D1A">
      <w:start w:val="1"/>
      <w:numFmt w:val="decimal"/>
      <w:lvlText w:val="%7."/>
      <w:lvlJc w:val="left"/>
      <w:pPr>
        <w:ind w:left="2800" w:hanging="360"/>
      </w:pPr>
    </w:lvl>
    <w:lvl w:ilvl="7" w:tplc="697AFA44">
      <w:start w:val="1"/>
      <w:numFmt w:val="lowerLetter"/>
      <w:lvlText w:val="%8."/>
      <w:lvlJc w:val="left"/>
      <w:pPr>
        <w:ind w:left="3200" w:hanging="360"/>
      </w:pPr>
    </w:lvl>
    <w:lvl w:ilvl="8" w:tplc="CE96F62A">
      <w:numFmt w:val="decimal"/>
      <w:lvlText w:val=""/>
      <w:lvlJc w:val="left"/>
    </w:lvl>
  </w:abstractNum>
  <w:abstractNum w:abstractNumId="5" w15:restartNumberingAfterBreak="0">
    <w:nsid w:val="40386D52"/>
    <w:multiLevelType w:val="hybridMultilevel"/>
    <w:tmpl w:val="4A54DA16"/>
    <w:lvl w:ilvl="0" w:tplc="FA4A9966">
      <w:start w:val="1"/>
      <w:numFmt w:val="bullet"/>
      <w:lvlText w:val=""/>
      <w:lvlJc w:val="left"/>
      <w:pPr>
        <w:ind w:left="400" w:hanging="360"/>
      </w:pPr>
      <w:rPr>
        <w:rFonts w:ascii="Symbol" w:hAnsi="Symbol"/>
      </w:rPr>
    </w:lvl>
    <w:lvl w:ilvl="1" w:tplc="80CA5F1E">
      <w:start w:val="1"/>
      <w:numFmt w:val="bullet"/>
      <w:lvlText w:val="o"/>
      <w:lvlJc w:val="left"/>
      <w:pPr>
        <w:ind w:left="800" w:hanging="360"/>
      </w:pPr>
      <w:rPr>
        <w:rFonts w:ascii="Courier New" w:hAnsi="Courier New"/>
      </w:rPr>
    </w:lvl>
    <w:lvl w:ilvl="2" w:tplc="6A605376">
      <w:start w:val="1"/>
      <w:numFmt w:val="bullet"/>
      <w:lvlText w:val=""/>
      <w:lvlJc w:val="left"/>
      <w:pPr>
        <w:ind w:left="1200" w:hanging="360"/>
      </w:pPr>
      <w:rPr>
        <w:rFonts w:ascii="Wingdings" w:hAnsi="Wingdings"/>
      </w:rPr>
    </w:lvl>
    <w:lvl w:ilvl="3" w:tplc="62389C1E">
      <w:start w:val="1"/>
      <w:numFmt w:val="bullet"/>
      <w:lvlText w:val=""/>
      <w:lvlJc w:val="left"/>
      <w:pPr>
        <w:ind w:left="1600" w:hanging="360"/>
      </w:pPr>
      <w:rPr>
        <w:rFonts w:ascii="Symbol" w:hAnsi="Symbol"/>
      </w:rPr>
    </w:lvl>
    <w:lvl w:ilvl="4" w:tplc="B0F661EC">
      <w:start w:val="1"/>
      <w:numFmt w:val="bullet"/>
      <w:lvlText w:val="o"/>
      <w:lvlJc w:val="left"/>
      <w:pPr>
        <w:ind w:left="2000" w:hanging="360"/>
      </w:pPr>
      <w:rPr>
        <w:rFonts w:ascii="Courier New" w:hAnsi="Courier New"/>
      </w:rPr>
    </w:lvl>
    <w:lvl w:ilvl="5" w:tplc="F182C23C">
      <w:start w:val="1"/>
      <w:numFmt w:val="bullet"/>
      <w:lvlText w:val=""/>
      <w:lvlJc w:val="left"/>
      <w:pPr>
        <w:ind w:left="2400" w:hanging="360"/>
      </w:pPr>
      <w:rPr>
        <w:rFonts w:ascii="Wingdings" w:hAnsi="Wingdings"/>
      </w:rPr>
    </w:lvl>
    <w:lvl w:ilvl="6" w:tplc="E9F87304">
      <w:start w:val="1"/>
      <w:numFmt w:val="bullet"/>
      <w:lvlText w:val=""/>
      <w:lvlJc w:val="left"/>
      <w:pPr>
        <w:ind w:left="2800" w:hanging="360"/>
      </w:pPr>
      <w:rPr>
        <w:rFonts w:ascii="Symbol" w:hAnsi="Symbol"/>
      </w:rPr>
    </w:lvl>
    <w:lvl w:ilvl="7" w:tplc="E08857FA">
      <w:start w:val="1"/>
      <w:numFmt w:val="bullet"/>
      <w:lvlText w:val="o"/>
      <w:lvlJc w:val="left"/>
      <w:pPr>
        <w:ind w:left="3200" w:hanging="360"/>
      </w:pPr>
      <w:rPr>
        <w:rFonts w:ascii="Courier New" w:hAnsi="Courier New"/>
      </w:rPr>
    </w:lvl>
    <w:lvl w:ilvl="8" w:tplc="80EC6966">
      <w:numFmt w:val="decimal"/>
      <w:lvlText w:val=""/>
      <w:lvlJc w:val="left"/>
    </w:lvl>
  </w:abstractNum>
  <w:abstractNum w:abstractNumId="6" w15:restartNumberingAfterBreak="0">
    <w:nsid w:val="41872889"/>
    <w:multiLevelType w:val="hybridMultilevel"/>
    <w:tmpl w:val="A6768F3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7" w15:restartNumberingAfterBreak="0">
    <w:nsid w:val="437519FE"/>
    <w:multiLevelType w:val="hybridMultilevel"/>
    <w:tmpl w:val="A33A6330"/>
    <w:lvl w:ilvl="0" w:tplc="9C4A64DA">
      <w:start w:val="1"/>
      <w:numFmt w:val="bullet"/>
      <w:lvlText w:val=""/>
      <w:lvlJc w:val="left"/>
      <w:pPr>
        <w:ind w:left="400" w:hanging="360"/>
      </w:pPr>
      <w:rPr>
        <w:rFonts w:ascii="Symbol" w:hAnsi="Symbol"/>
      </w:rPr>
    </w:lvl>
    <w:lvl w:ilvl="1" w:tplc="68A4DF94">
      <w:start w:val="1"/>
      <w:numFmt w:val="bullet"/>
      <w:lvlText w:val="o"/>
      <w:lvlJc w:val="left"/>
      <w:pPr>
        <w:ind w:left="800" w:hanging="360"/>
      </w:pPr>
      <w:rPr>
        <w:rFonts w:ascii="Courier New" w:hAnsi="Courier New"/>
      </w:rPr>
    </w:lvl>
    <w:lvl w:ilvl="2" w:tplc="BCBAA740">
      <w:start w:val="1"/>
      <w:numFmt w:val="bullet"/>
      <w:lvlText w:val=""/>
      <w:lvlJc w:val="left"/>
      <w:pPr>
        <w:ind w:left="1200" w:hanging="360"/>
      </w:pPr>
      <w:rPr>
        <w:rFonts w:ascii="Wingdings" w:hAnsi="Wingdings"/>
      </w:rPr>
    </w:lvl>
    <w:lvl w:ilvl="3" w:tplc="F3CEEB7E">
      <w:start w:val="1"/>
      <w:numFmt w:val="bullet"/>
      <w:lvlText w:val=""/>
      <w:lvlJc w:val="left"/>
      <w:pPr>
        <w:ind w:left="1600" w:hanging="360"/>
      </w:pPr>
      <w:rPr>
        <w:rFonts w:ascii="Symbol" w:hAnsi="Symbol"/>
      </w:rPr>
    </w:lvl>
    <w:lvl w:ilvl="4" w:tplc="F01E42BA">
      <w:start w:val="1"/>
      <w:numFmt w:val="bullet"/>
      <w:lvlText w:val="o"/>
      <w:lvlJc w:val="left"/>
      <w:pPr>
        <w:ind w:left="2000" w:hanging="360"/>
      </w:pPr>
      <w:rPr>
        <w:rFonts w:ascii="Courier New" w:hAnsi="Courier New"/>
      </w:rPr>
    </w:lvl>
    <w:lvl w:ilvl="5" w:tplc="4BC420AC">
      <w:start w:val="1"/>
      <w:numFmt w:val="bullet"/>
      <w:lvlText w:val=""/>
      <w:lvlJc w:val="left"/>
      <w:pPr>
        <w:ind w:left="2400" w:hanging="360"/>
      </w:pPr>
      <w:rPr>
        <w:rFonts w:ascii="Wingdings" w:hAnsi="Wingdings"/>
      </w:rPr>
    </w:lvl>
    <w:lvl w:ilvl="6" w:tplc="C5ECA788">
      <w:start w:val="1"/>
      <w:numFmt w:val="bullet"/>
      <w:lvlText w:val=""/>
      <w:lvlJc w:val="left"/>
      <w:pPr>
        <w:ind w:left="2800" w:hanging="360"/>
      </w:pPr>
      <w:rPr>
        <w:rFonts w:ascii="Symbol" w:hAnsi="Symbol"/>
      </w:rPr>
    </w:lvl>
    <w:lvl w:ilvl="7" w:tplc="9D262C38">
      <w:start w:val="1"/>
      <w:numFmt w:val="bullet"/>
      <w:lvlText w:val="o"/>
      <w:lvlJc w:val="left"/>
      <w:pPr>
        <w:ind w:left="3200" w:hanging="360"/>
      </w:pPr>
      <w:rPr>
        <w:rFonts w:ascii="Courier New" w:hAnsi="Courier New"/>
      </w:rPr>
    </w:lvl>
    <w:lvl w:ilvl="8" w:tplc="D2582D6A">
      <w:numFmt w:val="decimal"/>
      <w:lvlText w:val=""/>
      <w:lvlJc w:val="left"/>
    </w:lvl>
  </w:abstractNum>
  <w:abstractNum w:abstractNumId="8" w15:restartNumberingAfterBreak="0">
    <w:nsid w:val="45656ABD"/>
    <w:multiLevelType w:val="hybridMultilevel"/>
    <w:tmpl w:val="674C345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5B457CF"/>
    <w:multiLevelType w:val="hybridMultilevel"/>
    <w:tmpl w:val="E5EAF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641843"/>
    <w:multiLevelType w:val="hybridMultilevel"/>
    <w:tmpl w:val="E9668B58"/>
    <w:lvl w:ilvl="0" w:tplc="50AAE5F4">
      <w:start w:val="1"/>
      <w:numFmt w:val="bullet"/>
      <w:lvlText w:val=""/>
      <w:lvlJc w:val="left"/>
      <w:pPr>
        <w:ind w:left="400" w:hanging="360"/>
      </w:pPr>
      <w:rPr>
        <w:rFonts w:ascii="Symbol" w:hAnsi="Symbol"/>
      </w:rPr>
    </w:lvl>
    <w:lvl w:ilvl="1" w:tplc="4C002980">
      <w:start w:val="1"/>
      <w:numFmt w:val="bullet"/>
      <w:lvlText w:val="o"/>
      <w:lvlJc w:val="left"/>
      <w:pPr>
        <w:ind w:left="800" w:hanging="360"/>
      </w:pPr>
      <w:rPr>
        <w:rFonts w:ascii="Courier New" w:hAnsi="Courier New"/>
      </w:rPr>
    </w:lvl>
    <w:lvl w:ilvl="2" w:tplc="5FAA5214">
      <w:start w:val="1"/>
      <w:numFmt w:val="bullet"/>
      <w:lvlText w:val=""/>
      <w:lvlJc w:val="left"/>
      <w:pPr>
        <w:ind w:left="1200" w:hanging="360"/>
      </w:pPr>
      <w:rPr>
        <w:rFonts w:ascii="Wingdings" w:hAnsi="Wingdings"/>
      </w:rPr>
    </w:lvl>
    <w:lvl w:ilvl="3" w:tplc="1848EFE0">
      <w:start w:val="1"/>
      <w:numFmt w:val="bullet"/>
      <w:lvlText w:val=""/>
      <w:lvlJc w:val="left"/>
      <w:pPr>
        <w:ind w:left="1600" w:hanging="360"/>
      </w:pPr>
      <w:rPr>
        <w:rFonts w:ascii="Symbol" w:hAnsi="Symbol"/>
      </w:rPr>
    </w:lvl>
    <w:lvl w:ilvl="4" w:tplc="1070D658">
      <w:start w:val="1"/>
      <w:numFmt w:val="bullet"/>
      <w:lvlText w:val="o"/>
      <w:lvlJc w:val="left"/>
      <w:pPr>
        <w:ind w:left="2000" w:hanging="360"/>
      </w:pPr>
      <w:rPr>
        <w:rFonts w:ascii="Courier New" w:hAnsi="Courier New"/>
      </w:rPr>
    </w:lvl>
    <w:lvl w:ilvl="5" w:tplc="AB7059A4">
      <w:start w:val="1"/>
      <w:numFmt w:val="bullet"/>
      <w:lvlText w:val=""/>
      <w:lvlJc w:val="left"/>
      <w:pPr>
        <w:ind w:left="2400" w:hanging="360"/>
      </w:pPr>
      <w:rPr>
        <w:rFonts w:ascii="Wingdings" w:hAnsi="Wingdings"/>
      </w:rPr>
    </w:lvl>
    <w:lvl w:ilvl="6" w:tplc="5DA0608A">
      <w:start w:val="1"/>
      <w:numFmt w:val="bullet"/>
      <w:lvlText w:val=""/>
      <w:lvlJc w:val="left"/>
      <w:pPr>
        <w:ind w:left="2800" w:hanging="360"/>
      </w:pPr>
      <w:rPr>
        <w:rFonts w:ascii="Symbol" w:hAnsi="Symbol"/>
      </w:rPr>
    </w:lvl>
    <w:lvl w:ilvl="7" w:tplc="EFEAA596">
      <w:start w:val="1"/>
      <w:numFmt w:val="bullet"/>
      <w:lvlText w:val="o"/>
      <w:lvlJc w:val="left"/>
      <w:pPr>
        <w:ind w:left="3200" w:hanging="360"/>
      </w:pPr>
      <w:rPr>
        <w:rFonts w:ascii="Courier New" w:hAnsi="Courier New"/>
      </w:rPr>
    </w:lvl>
    <w:lvl w:ilvl="8" w:tplc="DFC2C034">
      <w:numFmt w:val="decimal"/>
      <w:lvlText w:val=""/>
      <w:lvlJc w:val="left"/>
    </w:lvl>
  </w:abstractNum>
  <w:abstractNum w:abstractNumId="11" w15:restartNumberingAfterBreak="0">
    <w:nsid w:val="4FDE3F9F"/>
    <w:multiLevelType w:val="hybridMultilevel"/>
    <w:tmpl w:val="112E7DAE"/>
    <w:lvl w:ilvl="0" w:tplc="F6DE522E">
      <w:start w:val="1"/>
      <w:numFmt w:val="bullet"/>
      <w:lvlText w:val=""/>
      <w:lvlJc w:val="left"/>
      <w:pPr>
        <w:ind w:left="400" w:hanging="360"/>
      </w:pPr>
      <w:rPr>
        <w:rFonts w:ascii="Symbol" w:hAnsi="Symbol"/>
      </w:rPr>
    </w:lvl>
    <w:lvl w:ilvl="1" w:tplc="3CD4EC8C">
      <w:start w:val="1"/>
      <w:numFmt w:val="bullet"/>
      <w:lvlText w:val="o"/>
      <w:lvlJc w:val="left"/>
      <w:pPr>
        <w:ind w:left="800" w:hanging="360"/>
      </w:pPr>
      <w:rPr>
        <w:rFonts w:ascii="Courier New" w:hAnsi="Courier New"/>
      </w:rPr>
    </w:lvl>
    <w:lvl w:ilvl="2" w:tplc="499AEE84">
      <w:start w:val="1"/>
      <w:numFmt w:val="bullet"/>
      <w:lvlText w:val=""/>
      <w:lvlJc w:val="left"/>
      <w:pPr>
        <w:ind w:left="1200" w:hanging="360"/>
      </w:pPr>
      <w:rPr>
        <w:rFonts w:ascii="Wingdings" w:hAnsi="Wingdings"/>
      </w:rPr>
    </w:lvl>
    <w:lvl w:ilvl="3" w:tplc="D7FC9F2C">
      <w:start w:val="1"/>
      <w:numFmt w:val="bullet"/>
      <w:lvlText w:val=""/>
      <w:lvlJc w:val="left"/>
      <w:pPr>
        <w:ind w:left="1600" w:hanging="360"/>
      </w:pPr>
      <w:rPr>
        <w:rFonts w:ascii="Symbol" w:hAnsi="Symbol"/>
      </w:rPr>
    </w:lvl>
    <w:lvl w:ilvl="4" w:tplc="C424361A">
      <w:start w:val="1"/>
      <w:numFmt w:val="bullet"/>
      <w:lvlText w:val="o"/>
      <w:lvlJc w:val="left"/>
      <w:pPr>
        <w:ind w:left="2000" w:hanging="360"/>
      </w:pPr>
      <w:rPr>
        <w:rFonts w:ascii="Courier New" w:hAnsi="Courier New"/>
      </w:rPr>
    </w:lvl>
    <w:lvl w:ilvl="5" w:tplc="FFFABAA4">
      <w:start w:val="1"/>
      <w:numFmt w:val="bullet"/>
      <w:lvlText w:val=""/>
      <w:lvlJc w:val="left"/>
      <w:pPr>
        <w:ind w:left="2400" w:hanging="360"/>
      </w:pPr>
      <w:rPr>
        <w:rFonts w:ascii="Wingdings" w:hAnsi="Wingdings"/>
      </w:rPr>
    </w:lvl>
    <w:lvl w:ilvl="6" w:tplc="B12A18AE">
      <w:start w:val="1"/>
      <w:numFmt w:val="bullet"/>
      <w:lvlText w:val=""/>
      <w:lvlJc w:val="left"/>
      <w:pPr>
        <w:ind w:left="2800" w:hanging="360"/>
      </w:pPr>
      <w:rPr>
        <w:rFonts w:ascii="Symbol" w:hAnsi="Symbol"/>
      </w:rPr>
    </w:lvl>
    <w:lvl w:ilvl="7" w:tplc="2F5C2A32">
      <w:start w:val="1"/>
      <w:numFmt w:val="bullet"/>
      <w:lvlText w:val="o"/>
      <w:lvlJc w:val="left"/>
      <w:pPr>
        <w:ind w:left="3200" w:hanging="360"/>
      </w:pPr>
      <w:rPr>
        <w:rFonts w:ascii="Courier New" w:hAnsi="Courier New"/>
      </w:rPr>
    </w:lvl>
    <w:lvl w:ilvl="8" w:tplc="0E5AD69E">
      <w:numFmt w:val="decimal"/>
      <w:lvlText w:val=""/>
      <w:lvlJc w:val="left"/>
    </w:lvl>
  </w:abstractNum>
  <w:abstractNum w:abstractNumId="12" w15:restartNumberingAfterBreak="0">
    <w:nsid w:val="56AA01EA"/>
    <w:multiLevelType w:val="hybridMultilevel"/>
    <w:tmpl w:val="511405A2"/>
    <w:lvl w:ilvl="0" w:tplc="7AB85A2C">
      <w:start w:val="1"/>
      <w:numFmt w:val="bullet"/>
      <w:lvlText w:val=""/>
      <w:lvlJc w:val="left"/>
      <w:pPr>
        <w:ind w:left="400" w:hanging="360"/>
      </w:pPr>
      <w:rPr>
        <w:rFonts w:ascii="Symbol" w:hAnsi="Symbol"/>
      </w:rPr>
    </w:lvl>
    <w:lvl w:ilvl="1" w:tplc="AF0E61FE">
      <w:start w:val="1"/>
      <w:numFmt w:val="bullet"/>
      <w:lvlText w:val="o"/>
      <w:lvlJc w:val="left"/>
      <w:pPr>
        <w:ind w:left="800" w:hanging="360"/>
      </w:pPr>
      <w:rPr>
        <w:rFonts w:ascii="Courier New" w:hAnsi="Courier New"/>
      </w:rPr>
    </w:lvl>
    <w:lvl w:ilvl="2" w:tplc="C10C6F7A">
      <w:start w:val="1"/>
      <w:numFmt w:val="bullet"/>
      <w:lvlText w:val=""/>
      <w:lvlJc w:val="left"/>
      <w:pPr>
        <w:ind w:left="1200" w:hanging="360"/>
      </w:pPr>
      <w:rPr>
        <w:rFonts w:ascii="Wingdings" w:hAnsi="Wingdings"/>
      </w:rPr>
    </w:lvl>
    <w:lvl w:ilvl="3" w:tplc="35987ECA">
      <w:start w:val="1"/>
      <w:numFmt w:val="bullet"/>
      <w:lvlText w:val=""/>
      <w:lvlJc w:val="left"/>
      <w:pPr>
        <w:ind w:left="1600" w:hanging="360"/>
      </w:pPr>
      <w:rPr>
        <w:rFonts w:ascii="Symbol" w:hAnsi="Symbol"/>
      </w:rPr>
    </w:lvl>
    <w:lvl w:ilvl="4" w:tplc="773A8AEC">
      <w:start w:val="1"/>
      <w:numFmt w:val="bullet"/>
      <w:lvlText w:val="o"/>
      <w:lvlJc w:val="left"/>
      <w:pPr>
        <w:ind w:left="2000" w:hanging="360"/>
      </w:pPr>
      <w:rPr>
        <w:rFonts w:ascii="Courier New" w:hAnsi="Courier New"/>
      </w:rPr>
    </w:lvl>
    <w:lvl w:ilvl="5" w:tplc="0CE27A84">
      <w:start w:val="1"/>
      <w:numFmt w:val="bullet"/>
      <w:lvlText w:val=""/>
      <w:lvlJc w:val="left"/>
      <w:pPr>
        <w:ind w:left="2400" w:hanging="360"/>
      </w:pPr>
      <w:rPr>
        <w:rFonts w:ascii="Wingdings" w:hAnsi="Wingdings"/>
      </w:rPr>
    </w:lvl>
    <w:lvl w:ilvl="6" w:tplc="A3C06F8C">
      <w:start w:val="1"/>
      <w:numFmt w:val="bullet"/>
      <w:lvlText w:val=""/>
      <w:lvlJc w:val="left"/>
      <w:pPr>
        <w:ind w:left="2800" w:hanging="360"/>
      </w:pPr>
      <w:rPr>
        <w:rFonts w:ascii="Symbol" w:hAnsi="Symbol"/>
      </w:rPr>
    </w:lvl>
    <w:lvl w:ilvl="7" w:tplc="DCEAA494">
      <w:start w:val="1"/>
      <w:numFmt w:val="bullet"/>
      <w:lvlText w:val="o"/>
      <w:lvlJc w:val="left"/>
      <w:pPr>
        <w:ind w:left="3200" w:hanging="360"/>
      </w:pPr>
      <w:rPr>
        <w:rFonts w:ascii="Courier New" w:hAnsi="Courier New"/>
      </w:rPr>
    </w:lvl>
    <w:lvl w:ilvl="8" w:tplc="4E5EFD3A">
      <w:numFmt w:val="decimal"/>
      <w:lvlText w:val=""/>
      <w:lvlJc w:val="left"/>
    </w:lvl>
  </w:abstractNum>
  <w:abstractNum w:abstractNumId="13" w15:restartNumberingAfterBreak="0">
    <w:nsid w:val="5CD36586"/>
    <w:multiLevelType w:val="hybridMultilevel"/>
    <w:tmpl w:val="333AA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1651CE"/>
    <w:multiLevelType w:val="hybridMultilevel"/>
    <w:tmpl w:val="1ED07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5F3A19"/>
    <w:multiLevelType w:val="hybridMultilevel"/>
    <w:tmpl w:val="2CD67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4E7AAA"/>
    <w:multiLevelType w:val="hybridMultilevel"/>
    <w:tmpl w:val="52EC8954"/>
    <w:lvl w:ilvl="0" w:tplc="C95C50B2">
      <w:start w:val="1"/>
      <w:numFmt w:val="bullet"/>
      <w:lvlText w:val=""/>
      <w:lvlJc w:val="left"/>
      <w:pPr>
        <w:ind w:left="400" w:hanging="360"/>
      </w:pPr>
      <w:rPr>
        <w:rFonts w:ascii="Symbol" w:hAnsi="Symbol"/>
      </w:rPr>
    </w:lvl>
    <w:lvl w:ilvl="1" w:tplc="2FF66272">
      <w:start w:val="1"/>
      <w:numFmt w:val="bullet"/>
      <w:lvlText w:val="o"/>
      <w:lvlJc w:val="left"/>
      <w:pPr>
        <w:ind w:left="800" w:hanging="360"/>
      </w:pPr>
      <w:rPr>
        <w:rFonts w:ascii="Courier New" w:hAnsi="Courier New"/>
      </w:rPr>
    </w:lvl>
    <w:lvl w:ilvl="2" w:tplc="3F10C29A">
      <w:start w:val="1"/>
      <w:numFmt w:val="bullet"/>
      <w:lvlText w:val=""/>
      <w:lvlJc w:val="left"/>
      <w:pPr>
        <w:ind w:left="1200" w:hanging="360"/>
      </w:pPr>
      <w:rPr>
        <w:rFonts w:ascii="Wingdings" w:hAnsi="Wingdings"/>
      </w:rPr>
    </w:lvl>
    <w:lvl w:ilvl="3" w:tplc="18F6D936">
      <w:start w:val="1"/>
      <w:numFmt w:val="bullet"/>
      <w:lvlText w:val=""/>
      <w:lvlJc w:val="left"/>
      <w:pPr>
        <w:ind w:left="1600" w:hanging="360"/>
      </w:pPr>
      <w:rPr>
        <w:rFonts w:ascii="Symbol" w:hAnsi="Symbol"/>
      </w:rPr>
    </w:lvl>
    <w:lvl w:ilvl="4" w:tplc="9C5AB33E">
      <w:start w:val="1"/>
      <w:numFmt w:val="bullet"/>
      <w:lvlText w:val="o"/>
      <w:lvlJc w:val="left"/>
      <w:pPr>
        <w:ind w:left="2000" w:hanging="360"/>
      </w:pPr>
      <w:rPr>
        <w:rFonts w:ascii="Courier New" w:hAnsi="Courier New"/>
      </w:rPr>
    </w:lvl>
    <w:lvl w:ilvl="5" w:tplc="FFD66786">
      <w:start w:val="1"/>
      <w:numFmt w:val="bullet"/>
      <w:lvlText w:val=""/>
      <w:lvlJc w:val="left"/>
      <w:pPr>
        <w:ind w:left="2400" w:hanging="360"/>
      </w:pPr>
      <w:rPr>
        <w:rFonts w:ascii="Wingdings" w:hAnsi="Wingdings"/>
      </w:rPr>
    </w:lvl>
    <w:lvl w:ilvl="6" w:tplc="DF72AFAE">
      <w:start w:val="1"/>
      <w:numFmt w:val="bullet"/>
      <w:lvlText w:val=""/>
      <w:lvlJc w:val="left"/>
      <w:pPr>
        <w:ind w:left="2800" w:hanging="360"/>
      </w:pPr>
      <w:rPr>
        <w:rFonts w:ascii="Symbol" w:hAnsi="Symbol"/>
      </w:rPr>
    </w:lvl>
    <w:lvl w:ilvl="7" w:tplc="24BCA8A2">
      <w:start w:val="1"/>
      <w:numFmt w:val="bullet"/>
      <w:lvlText w:val="o"/>
      <w:lvlJc w:val="left"/>
      <w:pPr>
        <w:ind w:left="3200" w:hanging="360"/>
      </w:pPr>
      <w:rPr>
        <w:rFonts w:ascii="Courier New" w:hAnsi="Courier New"/>
      </w:rPr>
    </w:lvl>
    <w:lvl w:ilvl="8" w:tplc="F87EA216">
      <w:numFmt w:val="decimal"/>
      <w:lvlText w:val=""/>
      <w:lvlJc w:val="left"/>
    </w:lvl>
  </w:abstractNum>
  <w:abstractNum w:abstractNumId="17" w15:restartNumberingAfterBreak="0">
    <w:nsid w:val="7919185D"/>
    <w:multiLevelType w:val="hybridMultilevel"/>
    <w:tmpl w:val="B6543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710981"/>
    <w:multiLevelType w:val="hybridMultilevel"/>
    <w:tmpl w:val="8CAC0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5189460">
    <w:abstractNumId w:val="12"/>
  </w:num>
  <w:num w:numId="2" w16cid:durableId="34546273">
    <w:abstractNumId w:val="4"/>
  </w:num>
  <w:num w:numId="3" w16cid:durableId="1248030246">
    <w:abstractNumId w:val="11"/>
  </w:num>
  <w:num w:numId="4" w16cid:durableId="1586915632">
    <w:abstractNumId w:val="5"/>
  </w:num>
  <w:num w:numId="5" w16cid:durableId="118767360">
    <w:abstractNumId w:val="16"/>
  </w:num>
  <w:num w:numId="6" w16cid:durableId="1906260938">
    <w:abstractNumId w:val="7"/>
  </w:num>
  <w:num w:numId="7" w16cid:durableId="1069158922">
    <w:abstractNumId w:val="2"/>
  </w:num>
  <w:num w:numId="8" w16cid:durableId="1362247380">
    <w:abstractNumId w:val="10"/>
  </w:num>
  <w:num w:numId="9" w16cid:durableId="171453718">
    <w:abstractNumId w:val="13"/>
  </w:num>
  <w:num w:numId="10" w16cid:durableId="1673020744">
    <w:abstractNumId w:val="1"/>
  </w:num>
  <w:num w:numId="11" w16cid:durableId="1895308963">
    <w:abstractNumId w:val="0"/>
  </w:num>
  <w:num w:numId="12" w16cid:durableId="955792862">
    <w:abstractNumId w:val="6"/>
  </w:num>
  <w:num w:numId="13" w16cid:durableId="1067922974">
    <w:abstractNumId w:val="14"/>
  </w:num>
  <w:num w:numId="14" w16cid:durableId="1267730423">
    <w:abstractNumId w:val="8"/>
  </w:num>
  <w:num w:numId="15" w16cid:durableId="371803933">
    <w:abstractNumId w:val="17"/>
  </w:num>
  <w:num w:numId="16" w16cid:durableId="1030453660">
    <w:abstractNumId w:val="3"/>
  </w:num>
  <w:num w:numId="17" w16cid:durableId="1908957383">
    <w:abstractNumId w:val="18"/>
  </w:num>
  <w:num w:numId="18" w16cid:durableId="1774206844">
    <w:abstractNumId w:val="9"/>
  </w:num>
  <w:num w:numId="19" w16cid:durableId="45332937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embedTrueTypeFonts/>
  <w:proofState w:spelling="clean" w:grammar="clean"/>
  <w:defaultTabStop w:val="720"/>
  <w:doNotShadeFormData/>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70DB1"/>
    <w:rsid w:val="000B4DB3"/>
    <w:rsid w:val="001163D1"/>
    <w:rsid w:val="001851DC"/>
    <w:rsid w:val="003A7D40"/>
    <w:rsid w:val="005046C7"/>
    <w:rsid w:val="00570DB1"/>
    <w:rsid w:val="006250E2"/>
    <w:rsid w:val="006A1607"/>
    <w:rsid w:val="00744A3E"/>
    <w:rsid w:val="007629B8"/>
    <w:rsid w:val="007C2734"/>
    <w:rsid w:val="008515F2"/>
    <w:rsid w:val="009A1EEA"/>
    <w:rsid w:val="009E6164"/>
    <w:rsid w:val="00A1586E"/>
    <w:rsid w:val="00A2369C"/>
    <w:rsid w:val="00A47D22"/>
    <w:rsid w:val="00A606EA"/>
    <w:rsid w:val="00B01476"/>
    <w:rsid w:val="00CC7CEE"/>
    <w:rsid w:val="00CD4643"/>
    <w:rsid w:val="00DD3D5E"/>
    <w:rsid w:val="00E7223A"/>
    <w:rsid w:val="00FC6D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1B2E829"/>
  <w15:docId w15:val="{5493313D-FF8E-9A4C-8629-8155C7FD8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3A7D40"/>
    <w:rPr>
      <w:sz w:val="20"/>
      <w:szCs w:val="20"/>
    </w:rPr>
  </w:style>
  <w:style w:type="character" w:customStyle="1" w:styleId="FootnoteTextChar">
    <w:name w:val="Footnote Text Char"/>
    <w:basedOn w:val="DefaultParagraphFont"/>
    <w:link w:val="FootnoteText"/>
    <w:uiPriority w:val="99"/>
    <w:semiHidden/>
    <w:rsid w:val="003A7D40"/>
    <w:rPr>
      <w:sz w:val="20"/>
      <w:szCs w:val="20"/>
    </w:rPr>
  </w:style>
  <w:style w:type="character" w:styleId="FootnoteReference">
    <w:name w:val="footnote reference"/>
    <w:basedOn w:val="DefaultParagraphFont"/>
    <w:uiPriority w:val="99"/>
    <w:semiHidden/>
    <w:unhideWhenUsed/>
    <w:rsid w:val="003A7D40"/>
    <w:rPr>
      <w:vertAlign w:val="superscript"/>
    </w:rPr>
  </w:style>
  <w:style w:type="paragraph" w:styleId="ListParagraph">
    <w:name w:val="List Paragraph"/>
    <w:basedOn w:val="Normal"/>
    <w:link w:val="ListParagraphChar"/>
    <w:uiPriority w:val="34"/>
    <w:qFormat/>
    <w:rsid w:val="003A7D40"/>
    <w:pPr>
      <w:ind w:left="720"/>
      <w:contextualSpacing/>
    </w:pPr>
  </w:style>
  <w:style w:type="table" w:styleId="TableGrid">
    <w:name w:val="Table Grid"/>
    <w:basedOn w:val="TableNormal"/>
    <w:uiPriority w:val="39"/>
    <w:rsid w:val="003A7D40"/>
    <w:rPr>
      <w:rFonts w:eastAsia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3A7D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9</Pages>
  <Words>1345</Words>
  <Characters>7668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Bruna Oliveira</cp:lastModifiedBy>
  <cp:revision>8</cp:revision>
  <dcterms:created xsi:type="dcterms:W3CDTF">2024-06-02T15:03:00Z</dcterms:created>
  <dcterms:modified xsi:type="dcterms:W3CDTF">2024-06-28T03:39:00Z</dcterms:modified>
</cp:coreProperties>
</file>