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BBD2C" w14:textId="0028E47B" w:rsidR="00A355C3" w:rsidRPr="005A000A" w:rsidRDefault="00977B8B" w:rsidP="00761987">
      <w:pPr>
        <w:spacing w:before="120" w:after="120"/>
        <w:rPr>
          <w:lang w:val="pt-BR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1C156FD9" wp14:editId="529A2FCE">
            <wp:simplePos x="0" y="0"/>
            <wp:positionH relativeFrom="page">
              <wp:posOffset>0</wp:posOffset>
            </wp:positionH>
            <wp:positionV relativeFrom="paragraph">
              <wp:posOffset>3544</wp:posOffset>
            </wp:positionV>
            <wp:extent cx="7562850" cy="2268855"/>
            <wp:effectExtent l="0" t="0" r="0" b="0"/>
            <wp:wrapTopAndBottom/>
            <wp:docPr id="1241157897" name="Drawing 0" descr="affaa0ad4c1e545bebf08c3b772cbb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ffaa0ad4c1e545bebf08c3b772cbbaa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25023F" w14:textId="30304EB9" w:rsidR="00A355C3" w:rsidRPr="005A000A" w:rsidRDefault="005A000A">
      <w:pPr>
        <w:spacing w:before="120" w:after="120" w:line="336" w:lineRule="auto"/>
        <w:rPr>
          <w:rFonts w:ascii="Bodoni 72 Book" w:hAnsi="Bodoni 72 Book"/>
          <w:lang w:val="pt-BR"/>
        </w:rPr>
      </w:pPr>
      <w:r w:rsidRPr="005A000A">
        <w:rPr>
          <w:rFonts w:ascii="Bodoni 72 Book" w:eastAsia="Prata" w:hAnsi="Bodoni 72 Book" w:cs="Prata"/>
          <w:color w:val="897C75"/>
          <w:sz w:val="64"/>
          <w:szCs w:val="64"/>
          <w:lang w:val="pt-BR"/>
        </w:rPr>
        <w:t>Considerações</w:t>
      </w:r>
      <w:r w:rsidR="003D5D3A" w:rsidRPr="005A000A">
        <w:rPr>
          <w:rFonts w:ascii="Bodoni 72 Book" w:eastAsia="Prata" w:hAnsi="Bodoni 72 Book" w:cs="Prata"/>
          <w:color w:val="897C75"/>
          <w:sz w:val="64"/>
          <w:szCs w:val="64"/>
          <w:lang w:val="pt-BR"/>
        </w:rPr>
        <w:t xml:space="preserve"> </w:t>
      </w:r>
      <w:r w:rsidRPr="005A000A">
        <w:rPr>
          <w:rFonts w:ascii="Bodoni 72 Book" w:eastAsia="Prata" w:hAnsi="Bodoni 72 Book" w:cs="Prata"/>
          <w:color w:val="897C75"/>
          <w:sz w:val="64"/>
          <w:szCs w:val="64"/>
          <w:lang w:val="pt-BR"/>
        </w:rPr>
        <w:t>principais</w:t>
      </w:r>
      <w:r w:rsidR="003D5D3A" w:rsidRPr="005A000A">
        <w:rPr>
          <w:rFonts w:ascii="Bodoni 72 Book" w:eastAsia="Prata" w:hAnsi="Bodoni 72 Book" w:cs="Prata"/>
          <w:color w:val="897C75"/>
          <w:sz w:val="64"/>
          <w:szCs w:val="64"/>
          <w:lang w:val="pt-BR"/>
        </w:rPr>
        <w:t xml:space="preserve"> </w:t>
      </w:r>
    </w:p>
    <w:p w14:paraId="6FD40CBE" w14:textId="77777777" w:rsidR="00A355C3" w:rsidRPr="005A000A" w:rsidRDefault="00A355C3">
      <w:pPr>
        <w:pBdr>
          <w:bottom w:val="single" w:sz="6" w:space="0" w:color="897C75"/>
        </w:pBdr>
        <w:spacing w:before="120" w:after="120" w:line="0" w:lineRule="auto"/>
        <w:rPr>
          <w:lang w:val="pt-BR"/>
        </w:rPr>
      </w:pPr>
    </w:p>
    <w:p w14:paraId="34F9CE69" w14:textId="52FF03EE" w:rsidR="00A355C3" w:rsidRPr="00B00B21" w:rsidRDefault="005A000A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5A000A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Para receber pagamentos baseados em resultados, os países devem apresentar seu sumário de informações mais recente que demonstre como as salvaguardas foram abordadas e respeitadas (geralmente denominado sumário de informações ou SOI),</w:t>
      </w:r>
      <w:r w:rsidR="003D5D3A" w:rsidRPr="005A000A">
        <w:rPr>
          <w:rStyle w:val="FootnoteReference"/>
          <w:rFonts w:ascii="Avenir Next" w:eastAsia="Montserrat" w:hAnsi="Avenir Next" w:cs="Montserrat"/>
          <w:color w:val="000000"/>
          <w:sz w:val="20"/>
          <w:szCs w:val="20"/>
          <w:lang w:val="pt-BR"/>
        </w:rPr>
        <w:footnoteReference w:id="1"/>
      </w:r>
      <w:r w:rsidRPr="005A000A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, que deve ser coerente com as orientações da CQNUMC</w:t>
      </w:r>
      <w:r w:rsidR="003D5D3A" w:rsidRPr="005A000A">
        <w:rPr>
          <w:rStyle w:val="FootnoteReference"/>
          <w:rFonts w:ascii="Avenir Next" w:eastAsia="Montserrat" w:hAnsi="Avenir Next" w:cs="Montserrat"/>
          <w:color w:val="000000"/>
          <w:sz w:val="20"/>
          <w:szCs w:val="20"/>
          <w:lang w:val="pt-BR"/>
        </w:rPr>
        <w:footnoteReference w:id="2"/>
      </w:r>
      <w:r w:rsidR="003D5D3A" w:rsidRPr="005A000A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</w:t>
      </w:r>
      <w:r w:rsidRPr="005A000A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e as melhores práticas internacionais. Também se espera que os governos subnacionais tenham apresentado à entidade governamental nacional correspondente um relatório de salvaguardas na escala respectiva que seja consistente com os relatórios nacionais à CQNUMC para qualquer </w:t>
      </w:r>
      <w:r w:rsidRPr="00B00B21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ano em que se solicitem pagamentos baseados em resultados. </w:t>
      </w:r>
    </w:p>
    <w:p w14:paraId="6CF44213" w14:textId="68EC55E6" w:rsidR="00ED4C59" w:rsidRPr="00B00B21" w:rsidRDefault="00000000" w:rsidP="00ED4C59">
      <w:p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  <w:r w:rsidRPr="00B00B21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</w:t>
      </w:r>
      <w:r w:rsidR="00ED4C59" w:rsidRPr="00B00B21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O sistema de informação de salvaguardas (SIS) e o SOI estão diretamente relacionados. O SIS </w:t>
      </w:r>
      <w:r w:rsidR="000A4FEA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serve</w:t>
      </w:r>
      <w:r w:rsidR="00ED4C59" w:rsidRPr="00B00B21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como uma ferramenta para que cada país e jurisdição reúna, compile e forneça informações sobre como as salvaguardas estão sendo abordadas e respeitadas durante a implementação das atividades de REDD+; enquanto o SOI é o meio pelo qual os países e jurisdições de REDD+ comunicarão internacionalmente como estão abordando e respeitando as salvaguardas</w:t>
      </w:r>
      <w:r w:rsidR="000A4FEA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.</w:t>
      </w:r>
      <w:r w:rsidR="00ED4C59" w:rsidRPr="00B00B21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</w:t>
      </w:r>
      <w:r w:rsidR="000A4FEA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C</w:t>
      </w:r>
      <w:r w:rsidR="00ED4C59" w:rsidRPr="00B00B21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om o tempo, </w:t>
      </w:r>
      <w:r w:rsidR="000A4FEA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O SOI vira</w:t>
      </w:r>
      <w:r w:rsidR="00ED4C59" w:rsidRPr="00B00B21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um produto do SIS nacional. Nesse sentido, o SOI pretende servir como um mecanismo para relatar as ações relacionadas a pelo menos três elementos:</w:t>
      </w:r>
    </w:p>
    <w:p w14:paraId="3B26EB47" w14:textId="77777777" w:rsidR="00ED4C59" w:rsidRPr="00B00B21" w:rsidRDefault="00ED4C59" w:rsidP="00ED4C59">
      <w:pPr>
        <w:pStyle w:val="ListParagraph"/>
        <w:numPr>
          <w:ilvl w:val="0"/>
          <w:numId w:val="19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  <w:r w:rsidRPr="00B00B21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Como as salvaguardas foram adotadas no contexto do país,</w:t>
      </w:r>
    </w:p>
    <w:p w14:paraId="5F1CD0CB" w14:textId="77777777" w:rsidR="00ED4C59" w:rsidRPr="00B00B21" w:rsidRDefault="00ED4C59" w:rsidP="00ED4C59">
      <w:pPr>
        <w:pStyle w:val="ListParagraph"/>
        <w:numPr>
          <w:ilvl w:val="0"/>
          <w:numId w:val="19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  <w:r w:rsidRPr="00B00B21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Como as salvaguardas foram abordadas, e</w:t>
      </w:r>
    </w:p>
    <w:p w14:paraId="6A7994BE" w14:textId="6F82D8F4" w:rsidR="00ED4C59" w:rsidRPr="00B00B21" w:rsidRDefault="00ED4C59" w:rsidP="00ED4C59">
      <w:pPr>
        <w:pStyle w:val="ListParagraph"/>
        <w:numPr>
          <w:ilvl w:val="0"/>
          <w:numId w:val="19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  <w:r w:rsidRPr="00B00B21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Como as salvaguardas foram respeitadas.</w:t>
      </w:r>
    </w:p>
    <w:p w14:paraId="4C4F2B37" w14:textId="2F28D7A8" w:rsidR="00A355C3" w:rsidRPr="00B00B21" w:rsidRDefault="00ED4C59">
      <w:p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  <w:r w:rsidRPr="00B00B21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lastRenderedPageBreak/>
        <w:t>A CQNUMC fornece alguma orientação sobre o conteúdo do SOI</w:t>
      </w:r>
      <w:r w:rsidRPr="00B00B21">
        <w:rPr>
          <w:rStyle w:val="FootnoteReference"/>
          <w:rFonts w:ascii="Avenir Next" w:eastAsia="Montserrat" w:hAnsi="Avenir Next" w:cs="Montserrat"/>
          <w:color w:val="000000"/>
          <w:sz w:val="20"/>
          <w:szCs w:val="20"/>
          <w:lang w:val="pt-BR"/>
        </w:rPr>
        <w:footnoteReference w:id="3"/>
      </w:r>
      <w:r w:rsidRPr="00B00B21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. O SOI deve incluir os seguintes elementos, quando apropriado: </w:t>
      </w:r>
    </w:p>
    <w:p w14:paraId="486F0D50" w14:textId="77777777" w:rsidR="00ED4C59" w:rsidRPr="00B00B21" w:rsidRDefault="00ED4C59" w:rsidP="00ED4C59">
      <w:pPr>
        <w:pStyle w:val="ListParagraph"/>
        <w:numPr>
          <w:ilvl w:val="0"/>
          <w:numId w:val="20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B00B21">
        <w:rPr>
          <w:rFonts w:ascii="Avenir Next" w:hAnsi="Avenir Next"/>
          <w:sz w:val="20"/>
          <w:szCs w:val="20"/>
          <w:lang w:val="pt-BR"/>
        </w:rPr>
        <w:t>Informação sobre as circunstâncias nacionais relevantes para abordar e respeitar as salvaguardas;</w:t>
      </w:r>
    </w:p>
    <w:p w14:paraId="7A706E3E" w14:textId="77777777" w:rsidR="00ED4C59" w:rsidRPr="00B00B21" w:rsidRDefault="00ED4C59" w:rsidP="00ED4C59">
      <w:pPr>
        <w:pStyle w:val="ListParagraph"/>
        <w:numPr>
          <w:ilvl w:val="0"/>
          <w:numId w:val="20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B00B21">
        <w:rPr>
          <w:rFonts w:ascii="Avenir Next" w:hAnsi="Avenir Next"/>
          <w:sz w:val="20"/>
          <w:szCs w:val="20"/>
          <w:lang w:val="pt-BR"/>
        </w:rPr>
        <w:t>Uma descrição de cada salvaguarda de acordo com as circunstâncias nacionais;</w:t>
      </w:r>
    </w:p>
    <w:p w14:paraId="219FAFA0" w14:textId="77777777" w:rsidR="00ED4C59" w:rsidRPr="00B00B21" w:rsidRDefault="00ED4C59" w:rsidP="00ED4C59">
      <w:pPr>
        <w:pStyle w:val="ListParagraph"/>
        <w:numPr>
          <w:ilvl w:val="0"/>
          <w:numId w:val="20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B00B21">
        <w:rPr>
          <w:rFonts w:ascii="Avenir Next" w:hAnsi="Avenir Next"/>
          <w:sz w:val="20"/>
          <w:szCs w:val="20"/>
          <w:lang w:val="pt-BR"/>
        </w:rPr>
        <w:t>Uma descrição dos sistemas e processos existentes pertinentes para abordar e respeitar as salvaguardas, incluindo os sistemas de informação referidos na decisão 12/CP.17, de acordo com as circunstâncias nacionais;</w:t>
      </w:r>
    </w:p>
    <w:p w14:paraId="2EE440D8" w14:textId="2D5A377B" w:rsidR="00ED4C59" w:rsidRPr="00B00B21" w:rsidRDefault="00FD6211" w:rsidP="00ED4C59">
      <w:pPr>
        <w:pStyle w:val="ListParagraph"/>
        <w:numPr>
          <w:ilvl w:val="0"/>
          <w:numId w:val="20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B00B21">
        <w:rPr>
          <w:rFonts w:ascii="Avenir Next" w:hAnsi="Avenir Next"/>
          <w:sz w:val="20"/>
          <w:szCs w:val="20"/>
          <w:lang w:val="pt-BR"/>
        </w:rPr>
        <w:t>informação</w:t>
      </w:r>
      <w:r w:rsidR="00ED4C59" w:rsidRPr="00B00B21">
        <w:rPr>
          <w:rFonts w:ascii="Avenir Next" w:hAnsi="Avenir Next"/>
          <w:sz w:val="20"/>
          <w:szCs w:val="20"/>
          <w:lang w:val="pt-BR"/>
        </w:rPr>
        <w:t xml:space="preserve"> sobre como cada uma das salvaguardas foi abordada e respeitada, de acordo com as circunstâncias nacionais;</w:t>
      </w:r>
    </w:p>
    <w:p w14:paraId="70A7AADC" w14:textId="0379D3B2" w:rsidR="00A355C3" w:rsidRPr="00B00B21" w:rsidRDefault="00ED4C59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B00B21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A CQNUMC também encoraja a fornecer qualquer outra informação relevante e a melhorar a informação fornecida, tendo em conta a abordagem gradual. </w:t>
      </w:r>
    </w:p>
    <w:p w14:paraId="338ED3A3" w14:textId="77777777" w:rsidR="00ED4C59" w:rsidRPr="00B00B21" w:rsidRDefault="00ED4C59">
      <w:p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  <w:r w:rsidRPr="00B00B21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A decisão da CQNUMC também especifica</w:t>
      </w:r>
      <w:r w:rsidR="003D5D3A" w:rsidRPr="00B00B21">
        <w:rPr>
          <w:rStyle w:val="FootnoteReference"/>
          <w:rFonts w:ascii="Avenir Next" w:eastAsia="Montserrat" w:hAnsi="Avenir Next" w:cs="Montserrat"/>
          <w:color w:val="000000"/>
          <w:sz w:val="20"/>
          <w:szCs w:val="20"/>
          <w:lang w:val="pt-BR"/>
        </w:rPr>
        <w:footnoteReference w:id="4"/>
      </w:r>
      <w:r w:rsidRPr="00B00B21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que o SOI deve ser fornecido após o início da implementação das atividades de REDD+ com as comunicações nacionais, ou de forma voluntária, através da plataforma web da CQNUMC, ou qualquer outro meio acordado pela COP.</w:t>
      </w:r>
    </w:p>
    <w:p w14:paraId="12170026" w14:textId="1A374C1C" w:rsidR="003D5D3A" w:rsidRPr="00B00B21" w:rsidRDefault="00ED4C59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B00B21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Em alinhamento com a orientação da CQNUMC</w:t>
      </w:r>
      <w:r w:rsidR="000A4FEA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e</w:t>
      </w:r>
      <w:r w:rsidRPr="00B00B21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as melhores práticas internacionais </w:t>
      </w:r>
      <w:r w:rsidR="003D5D3A" w:rsidRPr="00B00B21">
        <w:rPr>
          <w:rStyle w:val="FootnoteReference"/>
          <w:rFonts w:ascii="Avenir Next" w:eastAsia="Montserrat" w:hAnsi="Avenir Next" w:cs="Montserrat"/>
          <w:color w:val="000000"/>
          <w:sz w:val="20"/>
          <w:szCs w:val="20"/>
          <w:lang w:val="pt-BR"/>
        </w:rPr>
        <w:footnoteReference w:id="5"/>
      </w:r>
      <w:r w:rsidR="003D5D3A" w:rsidRPr="00B00B21">
        <w:rPr>
          <w:rStyle w:val="FootnoteReference"/>
          <w:rFonts w:ascii="Avenir Next" w:eastAsia="Montserrat" w:hAnsi="Avenir Next" w:cs="Montserrat"/>
          <w:color w:val="000000"/>
          <w:sz w:val="20"/>
          <w:szCs w:val="20"/>
          <w:lang w:val="pt-BR"/>
        </w:rPr>
        <w:footnoteReference w:id="6"/>
      </w:r>
      <w:r w:rsidR="000A4FEA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s</w:t>
      </w:r>
      <w:r w:rsidRPr="00B00B21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obre o conteúdo e a estrutura do SOI</w:t>
      </w:r>
      <w:r w:rsidR="000A4FEA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,</w:t>
      </w:r>
      <w:r w:rsidRPr="00B00B21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</w:t>
      </w:r>
      <w:r w:rsidR="000A4FEA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devem ser considerados</w:t>
      </w:r>
      <w:r w:rsidRPr="00B00B21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os seguintes componentes: </w:t>
      </w:r>
    </w:p>
    <w:p w14:paraId="65D3C24B" w14:textId="77777777" w:rsidR="00ED4C59" w:rsidRPr="00B00B21" w:rsidRDefault="00ED4C59" w:rsidP="003D5D3A">
      <w:pPr>
        <w:pStyle w:val="ListParagraph"/>
        <w:numPr>
          <w:ilvl w:val="0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B00B21">
        <w:rPr>
          <w:rFonts w:ascii="Avenir Next" w:hAnsi="Avenir Next"/>
          <w:b/>
          <w:bCs/>
          <w:color w:val="000000"/>
          <w:sz w:val="20"/>
          <w:szCs w:val="20"/>
          <w:lang w:val="pt-BR"/>
        </w:rPr>
        <w:t>Introdução</w:t>
      </w:r>
      <w:r w:rsidRPr="00B00B21">
        <w:rPr>
          <w:rFonts w:ascii="Avenir Next" w:hAnsi="Avenir Next"/>
          <w:color w:val="000000"/>
          <w:sz w:val="20"/>
          <w:szCs w:val="20"/>
          <w:lang w:val="pt-BR"/>
        </w:rPr>
        <w:t>: esta seção pode estabelecer o escopo do relatório, incluindo os compromissos de salvaguardas aplicáveis que informam a formulação e disseminação deste relatório, os objetivos específicos deste relatório e o período de relatório associado.</w:t>
      </w:r>
    </w:p>
    <w:p w14:paraId="66D3676C" w14:textId="77777777" w:rsidR="00ED4C59" w:rsidRPr="00B00B21" w:rsidRDefault="00ED4C59" w:rsidP="003D5D3A">
      <w:pPr>
        <w:pStyle w:val="ListParagraph"/>
        <w:numPr>
          <w:ilvl w:val="0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B00B21">
        <w:rPr>
          <w:rFonts w:ascii="Avenir Next" w:hAnsi="Avenir Next"/>
          <w:b/>
          <w:bCs/>
          <w:color w:val="000000"/>
          <w:sz w:val="20"/>
          <w:szCs w:val="20"/>
          <w:lang w:val="pt-BR"/>
        </w:rPr>
        <w:t>Contexto nacional e descrição geral de REDD+:</w:t>
      </w:r>
      <w:r w:rsidRPr="00B00B21">
        <w:rPr>
          <w:rFonts w:ascii="Avenir Next" w:hAnsi="Avenir Next"/>
          <w:color w:val="000000"/>
          <w:sz w:val="20"/>
          <w:szCs w:val="20"/>
          <w:lang w:val="pt-BR"/>
        </w:rPr>
        <w:t xml:space="preserve"> esta seção pode fornecer uma descrição clara do escopo, escala e estágio de design e implementação das ações de REDD+ que estão sujeitas a este período de apresentação de relatórios. </w:t>
      </w:r>
    </w:p>
    <w:p w14:paraId="0D375BAB" w14:textId="7089EA20" w:rsidR="00ED4C59" w:rsidRPr="00B00B21" w:rsidRDefault="00ED4C59" w:rsidP="003D5D3A">
      <w:pPr>
        <w:pStyle w:val="ListParagraph"/>
        <w:numPr>
          <w:ilvl w:val="0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B00B21">
        <w:rPr>
          <w:rFonts w:ascii="Avenir Next" w:hAnsi="Avenir Next"/>
          <w:b/>
          <w:bCs/>
          <w:color w:val="000000"/>
          <w:sz w:val="20"/>
          <w:szCs w:val="20"/>
          <w:lang w:val="pt-BR"/>
        </w:rPr>
        <w:t>Descrição de cada salvaguarda:</w:t>
      </w:r>
      <w:r w:rsidRPr="00B00B21">
        <w:rPr>
          <w:rFonts w:ascii="Avenir Next" w:hAnsi="Avenir Next"/>
          <w:color w:val="000000"/>
          <w:sz w:val="20"/>
          <w:szCs w:val="20"/>
          <w:lang w:val="pt-BR"/>
        </w:rPr>
        <w:t xml:space="preserve"> esta seção pode explicar como o país entende cada uma das salvaguardas REDD+ da CQNUMC, de acordo com o contexto e as circunstâncias específicas do país. </w:t>
      </w:r>
      <w:r w:rsidR="000A4FEA" w:rsidRPr="00B00B21">
        <w:rPr>
          <w:rFonts w:ascii="Avenir Next" w:hAnsi="Avenir Next"/>
          <w:color w:val="000000"/>
          <w:sz w:val="20"/>
          <w:szCs w:val="20"/>
          <w:lang w:val="pt-BR"/>
        </w:rPr>
        <w:t>Muitos países desenvolveram</w:t>
      </w:r>
      <w:r w:rsidRPr="00B00B21">
        <w:rPr>
          <w:rFonts w:ascii="Avenir Next" w:hAnsi="Avenir Next"/>
          <w:color w:val="000000"/>
          <w:sz w:val="20"/>
          <w:szCs w:val="20"/>
          <w:lang w:val="pt-BR"/>
        </w:rPr>
        <w:t xml:space="preserve"> sua descrição como parte de sua abordagem de salvaguardas. A descrição de salvaguardas pode ser apresentada como um texto narrativo com vários elementos; ou um conjunto de princípios e critérios definidos para cada salvaguarda. Esta seção pode ser incluída no primeiro SOI e </w:t>
      </w:r>
      <w:proofErr w:type="gramStart"/>
      <w:r w:rsidRPr="00B00B21">
        <w:rPr>
          <w:rFonts w:ascii="Avenir Next" w:hAnsi="Avenir Next"/>
          <w:color w:val="000000"/>
          <w:sz w:val="20"/>
          <w:szCs w:val="20"/>
          <w:lang w:val="pt-BR"/>
        </w:rPr>
        <w:t xml:space="preserve">nos </w:t>
      </w:r>
      <w:proofErr w:type="spellStart"/>
      <w:r w:rsidRPr="00B00B21">
        <w:rPr>
          <w:rFonts w:ascii="Avenir Next" w:hAnsi="Avenir Next"/>
          <w:color w:val="000000"/>
          <w:sz w:val="20"/>
          <w:szCs w:val="20"/>
          <w:lang w:val="pt-BR"/>
        </w:rPr>
        <w:t>SOIs</w:t>
      </w:r>
      <w:proofErr w:type="spellEnd"/>
      <w:proofErr w:type="gramEnd"/>
      <w:r w:rsidRPr="00B00B21">
        <w:rPr>
          <w:rFonts w:ascii="Avenir Next" w:hAnsi="Avenir Next"/>
          <w:color w:val="000000"/>
          <w:sz w:val="20"/>
          <w:szCs w:val="20"/>
          <w:lang w:val="pt-BR"/>
        </w:rPr>
        <w:t xml:space="preserve"> subsequentes, se sujeitos a atualizações. </w:t>
      </w:r>
    </w:p>
    <w:p w14:paraId="5E8E375B" w14:textId="77777777" w:rsidR="00ED4C59" w:rsidRPr="00B00B21" w:rsidRDefault="00ED4C59" w:rsidP="003D5D3A">
      <w:pPr>
        <w:pStyle w:val="ListParagraph"/>
        <w:numPr>
          <w:ilvl w:val="0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B00B21">
        <w:rPr>
          <w:rFonts w:ascii="Avenir Next" w:hAnsi="Avenir Next"/>
          <w:b/>
          <w:bCs/>
          <w:color w:val="000000"/>
          <w:sz w:val="20"/>
          <w:szCs w:val="20"/>
          <w:lang w:val="pt-BR"/>
        </w:rPr>
        <w:lastRenderedPageBreak/>
        <w:t>Conformidade com as salvaguardas de REDD+:</w:t>
      </w:r>
      <w:r w:rsidRPr="00B00B21">
        <w:rPr>
          <w:rFonts w:ascii="Avenir Next" w:hAnsi="Avenir Next"/>
          <w:color w:val="000000"/>
          <w:sz w:val="20"/>
          <w:szCs w:val="20"/>
          <w:lang w:val="pt-BR"/>
        </w:rPr>
        <w:t xml:space="preserve"> esta seção pode fornecer informações sobre como as sete salvaguardas estão sendo abordadas e respeitadas ao longo da implementação das ações de REDD+, para cada período de resultados específico. Geralmente, esta seção incluiria informações sobre os arranjos de governança das jurisdições vigentes para garantir a aplicação das salvaguardas e informar quais são os resultados associados (por exemplo, como as salvaguardas de REDD+ foram respeitadas ao implementar ações de REDD+). Esta seção também pode identificar desafios (se houver) para garantir o cumprimento das salvaguardas durante a implementação das ações REDD+ e identificar possíveis medidas de melhoria. </w:t>
      </w:r>
    </w:p>
    <w:p w14:paraId="5461B68E" w14:textId="4E8CCBD8" w:rsidR="003D5D3A" w:rsidRPr="00B00B21" w:rsidRDefault="00ED4C59" w:rsidP="003D5D3A">
      <w:pPr>
        <w:pStyle w:val="ListParagraph"/>
        <w:numPr>
          <w:ilvl w:val="0"/>
          <w:numId w:val="13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B00B21">
        <w:rPr>
          <w:rFonts w:ascii="Avenir Next" w:hAnsi="Avenir Next"/>
          <w:b/>
          <w:bCs/>
          <w:color w:val="000000"/>
          <w:sz w:val="20"/>
          <w:szCs w:val="20"/>
          <w:lang w:val="pt-BR"/>
        </w:rPr>
        <w:t>Participação das partes interessadas:</w:t>
      </w:r>
      <w:r w:rsidRPr="00B00B21">
        <w:rPr>
          <w:rFonts w:ascii="Avenir Next" w:hAnsi="Avenir Next"/>
          <w:color w:val="000000"/>
          <w:sz w:val="20"/>
          <w:szCs w:val="20"/>
          <w:lang w:val="pt-BR"/>
        </w:rPr>
        <w:t xml:space="preserve"> esta seção pode incluir informações relacionadas ao processo de participação das partes interessadas para a preparação deste relatório e como </w:t>
      </w:r>
      <w:r w:rsidR="000A4FEA" w:rsidRPr="00B00B21">
        <w:rPr>
          <w:rFonts w:ascii="Avenir Next" w:hAnsi="Avenir Next"/>
          <w:color w:val="000000"/>
          <w:sz w:val="20"/>
          <w:szCs w:val="20"/>
          <w:lang w:val="pt-BR"/>
        </w:rPr>
        <w:t xml:space="preserve">seus </w:t>
      </w:r>
      <w:r w:rsidR="000A4FEA">
        <w:rPr>
          <w:rFonts w:ascii="Avenir Next" w:hAnsi="Avenir Next"/>
          <w:color w:val="000000"/>
          <w:sz w:val="20"/>
          <w:szCs w:val="20"/>
          <w:lang w:val="pt-BR"/>
        </w:rPr>
        <w:t>feedbacks</w:t>
      </w:r>
      <w:r w:rsidRPr="00B00B21">
        <w:rPr>
          <w:rFonts w:ascii="Avenir Next" w:hAnsi="Avenir Next"/>
          <w:color w:val="000000"/>
          <w:sz w:val="20"/>
          <w:szCs w:val="20"/>
          <w:lang w:val="pt-BR"/>
        </w:rPr>
        <w:t xml:space="preserve"> foram integrados neste relatório.</w:t>
      </w:r>
      <w:r w:rsidRPr="00B00B21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</w:t>
      </w:r>
    </w:p>
    <w:p w14:paraId="79E259CC" w14:textId="7E511552" w:rsidR="00ED4C59" w:rsidRPr="00B00B21" w:rsidRDefault="00ED4C59" w:rsidP="00ED4C59">
      <w:p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  <w:r w:rsidRPr="00B00B21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Portanto, esta ferramenta destina-se a ajudar os programas J-REDD+ a compreender melhor:</w:t>
      </w:r>
    </w:p>
    <w:p w14:paraId="21C71D26" w14:textId="77777777" w:rsidR="00ED4C59" w:rsidRPr="00B00B21" w:rsidRDefault="00ED4C59" w:rsidP="00ED4C59">
      <w:pPr>
        <w:pStyle w:val="ListParagraph"/>
        <w:numPr>
          <w:ilvl w:val="0"/>
          <w:numId w:val="21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  <w:r w:rsidRPr="00B00B21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O nível de alinhamento do seu sumário de informações em correlação com as orientações da CQNUMC e as melhores práticas internacionais;</w:t>
      </w:r>
    </w:p>
    <w:p w14:paraId="7189A002" w14:textId="2B7053B2" w:rsidR="00ED4C59" w:rsidRPr="00B00B21" w:rsidRDefault="00ED4C59" w:rsidP="00ED4C59">
      <w:pPr>
        <w:pStyle w:val="ListParagraph"/>
        <w:numPr>
          <w:ilvl w:val="0"/>
          <w:numId w:val="21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  <w:r w:rsidRPr="00B00B21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Identificar quaisquer lacunas, fraquezas e/ou possíveis inconsistências nesses arranjos e identificar recomendações para abordá-las.</w:t>
      </w:r>
    </w:p>
    <w:p w14:paraId="01B235C2" w14:textId="7385BA0A" w:rsidR="00A355C3" w:rsidRPr="00ED4C59" w:rsidRDefault="00ED4C59">
      <w:pPr>
        <w:spacing w:before="120" w:after="120" w:line="336" w:lineRule="auto"/>
        <w:rPr>
          <w:rFonts w:ascii="Bodoni 72 Book" w:eastAsia="Prata" w:hAnsi="Bodoni 72 Book" w:cs="Prata"/>
          <w:color w:val="897C75"/>
          <w:sz w:val="64"/>
          <w:szCs w:val="64"/>
          <w:lang w:val="pt-BR"/>
        </w:rPr>
      </w:pPr>
      <w:r w:rsidRPr="00B00B21">
        <w:rPr>
          <w:rFonts w:ascii="Bodoni 72 Book" w:eastAsia="Prata" w:hAnsi="Bodoni 72 Book" w:cs="Prata"/>
          <w:color w:val="897C75"/>
          <w:sz w:val="64"/>
          <w:szCs w:val="64"/>
          <w:lang w:val="pt-BR"/>
        </w:rPr>
        <w:t>Como</w:t>
      </w:r>
      <w:r w:rsidR="003D5D3A" w:rsidRPr="00B00B21">
        <w:rPr>
          <w:rFonts w:ascii="Bodoni 72 Book" w:eastAsia="Prata" w:hAnsi="Bodoni 72 Book" w:cs="Prata"/>
          <w:color w:val="897C75"/>
          <w:sz w:val="64"/>
          <w:szCs w:val="64"/>
          <w:lang w:val="pt-BR"/>
        </w:rPr>
        <w:t xml:space="preserve"> utilizar esta </w:t>
      </w:r>
      <w:r w:rsidRPr="00B00B21">
        <w:rPr>
          <w:rFonts w:ascii="Bodoni 72 Book" w:eastAsia="Prata" w:hAnsi="Bodoni 72 Book" w:cs="Prata"/>
          <w:color w:val="897C75"/>
          <w:sz w:val="64"/>
          <w:szCs w:val="64"/>
          <w:lang w:val="pt-BR"/>
        </w:rPr>
        <w:t>ferramenta</w:t>
      </w:r>
      <w:r w:rsidR="003D5D3A" w:rsidRPr="005A000A">
        <w:rPr>
          <w:rFonts w:ascii="Bodoni 72 Book" w:eastAsia="Prata" w:hAnsi="Bodoni 72 Book" w:cs="Prata"/>
          <w:color w:val="897C75"/>
          <w:sz w:val="64"/>
          <w:szCs w:val="64"/>
          <w:lang w:val="pt-BR"/>
        </w:rPr>
        <w:t>?</w:t>
      </w:r>
    </w:p>
    <w:tbl>
      <w:tblPr>
        <w:tblW w:w="9030" w:type="dxa"/>
        <w:tblInd w:w="18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A355C3" w:rsidRPr="005A000A" w14:paraId="4F1CB286" w14:textId="77777777">
        <w:tc>
          <w:tcPr>
            <w:tcW w:w="9030" w:type="dxa"/>
            <w:shd w:val="clear" w:color="auto" w:fill="DECABE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055693D" w14:textId="53F93C2D" w:rsidR="00761987" w:rsidRPr="00761987" w:rsidRDefault="00761987" w:rsidP="00761987">
            <w:pPr>
              <w:spacing w:before="120" w:after="120" w:line="336" w:lineRule="auto"/>
              <w:rPr>
                <w:rFonts w:ascii="Avenir Next" w:eastAsia="IBM Plex Sans" w:hAnsi="Avenir Next" w:cs="IBM Plex Sans"/>
                <w:color w:val="000000" w:themeColor="text1"/>
                <w:sz w:val="20"/>
                <w:szCs w:val="20"/>
                <w:lang w:val="pt-BR"/>
              </w:rPr>
            </w:pPr>
            <w:r w:rsidRPr="00761987">
              <w:rPr>
                <w:rFonts w:ascii="Avenir Next" w:eastAsia="IBM Plex Sans" w:hAnsi="Avenir Next" w:cs="IBM Plex Sans"/>
                <w:color w:val="000000" w:themeColor="text1"/>
                <w:sz w:val="20"/>
                <w:szCs w:val="20"/>
                <w:lang w:val="pt-BR"/>
              </w:rPr>
              <w:t>Esta ferramenta se divide em duas partes:</w:t>
            </w:r>
          </w:p>
          <w:p w14:paraId="57B3168F" w14:textId="26DCA169" w:rsidR="00761987" w:rsidRPr="00761987" w:rsidRDefault="00761987" w:rsidP="00761987">
            <w:pPr>
              <w:pStyle w:val="ListParagraph"/>
              <w:numPr>
                <w:ilvl w:val="0"/>
                <w:numId w:val="22"/>
              </w:numPr>
              <w:spacing w:before="120" w:after="120" w:line="336" w:lineRule="auto"/>
              <w:rPr>
                <w:rFonts w:ascii="Avenir Next" w:eastAsia="IBM Plex Sans" w:hAnsi="Avenir Next" w:cs="IBM Plex Sans"/>
                <w:color w:val="000000" w:themeColor="text1"/>
                <w:sz w:val="20"/>
                <w:szCs w:val="20"/>
                <w:lang w:val="pt-BR"/>
              </w:rPr>
            </w:pPr>
            <w:r w:rsidRPr="00761987">
              <w:rPr>
                <w:rFonts w:ascii="Avenir Next" w:eastAsia="IBM Plex Sans" w:hAnsi="Avenir Next" w:cs="IBM Plex Sans"/>
                <w:b/>
                <w:bCs/>
                <w:color w:val="000000" w:themeColor="text1"/>
                <w:sz w:val="20"/>
                <w:szCs w:val="20"/>
                <w:lang w:val="pt-BR"/>
              </w:rPr>
              <w:t>Parte A:</w:t>
            </w:r>
            <w:r w:rsidRPr="00761987">
              <w:rPr>
                <w:rFonts w:ascii="Avenir Next" w:eastAsia="IBM Plex Sans" w:hAnsi="Avenir Next" w:cs="IBM Plex Sans"/>
                <w:color w:val="000000" w:themeColor="text1"/>
                <w:sz w:val="20"/>
                <w:szCs w:val="20"/>
                <w:lang w:val="pt-BR"/>
              </w:rPr>
              <w:t xml:space="preserve">  </w:t>
            </w:r>
            <w:r w:rsidRPr="00761987">
              <w:rPr>
                <w:rFonts w:ascii="Avenir Next" w:hAnsi="Avenir Next"/>
                <w:color w:val="000000" w:themeColor="text1"/>
                <w:sz w:val="20"/>
                <w:szCs w:val="20"/>
                <w:lang w:val="pt-BR"/>
              </w:rPr>
              <w:t xml:space="preserve">apresenta um questionário que orienta os usuários na avaliação qualitativa técnica </w:t>
            </w:r>
            <w:r>
              <w:rPr>
                <w:rFonts w:ascii="Avenir Next" w:hAnsi="Avenir Next"/>
                <w:color w:val="000000" w:themeColor="text1"/>
                <w:sz w:val="20"/>
                <w:szCs w:val="20"/>
                <w:lang w:val="pt-BR"/>
              </w:rPr>
              <w:t>do SOI.</w:t>
            </w:r>
          </w:p>
          <w:p w14:paraId="1AE144E5" w14:textId="0C755E25" w:rsidR="00A355C3" w:rsidRPr="00761987" w:rsidRDefault="00761987" w:rsidP="00761987">
            <w:pPr>
              <w:pStyle w:val="ListParagraph"/>
              <w:numPr>
                <w:ilvl w:val="0"/>
                <w:numId w:val="15"/>
              </w:numPr>
              <w:spacing w:before="120" w:after="120" w:line="336" w:lineRule="auto"/>
              <w:rPr>
                <w:rFonts w:ascii="Avenir Next" w:hAnsi="Avenir Next"/>
                <w:color w:val="000000" w:themeColor="text1"/>
                <w:sz w:val="20"/>
                <w:szCs w:val="20"/>
                <w:lang w:val="pt-BR"/>
              </w:rPr>
            </w:pPr>
            <w:r w:rsidRPr="00761987">
              <w:rPr>
                <w:rFonts w:ascii="Avenir Next" w:eastAsia="IBM Plex Sans" w:hAnsi="Avenir Next" w:cs="IBM Plex Sans"/>
                <w:b/>
                <w:bCs/>
                <w:color w:val="000000" w:themeColor="text1"/>
                <w:sz w:val="20"/>
                <w:szCs w:val="20"/>
                <w:lang w:val="pt-BR"/>
              </w:rPr>
              <w:t>Parte B:</w:t>
            </w:r>
            <w:r w:rsidRPr="00761987">
              <w:rPr>
                <w:rFonts w:ascii="Avenir Next" w:eastAsia="IBM Plex Sans" w:hAnsi="Avenir Next" w:cs="IBM Plex Sans"/>
                <w:color w:val="000000" w:themeColor="text1"/>
                <w:sz w:val="20"/>
                <w:szCs w:val="20"/>
                <w:lang w:val="pt-BR"/>
              </w:rPr>
              <w:t xml:space="preserve"> </w:t>
            </w:r>
            <w:r w:rsidRPr="00761987">
              <w:rPr>
                <w:rFonts w:ascii="Avenir Next" w:hAnsi="Avenir Next"/>
                <w:color w:val="000000" w:themeColor="text1"/>
                <w:sz w:val="20"/>
                <w:szCs w:val="20"/>
                <w:lang w:val="pt-BR"/>
              </w:rPr>
              <w:t>apresenta um modelo de relatório que deve ser preenchido com base nos resultados da Parte 'A' e informará o desenvolvimento do roteiro J-REDD+ (Ferramenta 8).</w:t>
            </w:r>
          </w:p>
        </w:tc>
      </w:tr>
    </w:tbl>
    <w:p w14:paraId="3B84ED01" w14:textId="77777777" w:rsidR="003D5D3A" w:rsidRPr="005A000A" w:rsidRDefault="003D5D3A">
      <w:pPr>
        <w:spacing w:before="120" w:after="120" w:line="336" w:lineRule="auto"/>
        <w:rPr>
          <w:rFonts w:ascii="Montserrat" w:eastAsia="Montserrat" w:hAnsi="Montserrat" w:cs="Montserrat"/>
          <w:color w:val="000000"/>
          <w:sz w:val="64"/>
          <w:szCs w:val="64"/>
          <w:lang w:val="pt-BR"/>
        </w:rPr>
        <w:sectPr w:rsidR="003D5D3A" w:rsidRPr="005A000A" w:rsidSect="00480509">
          <w:pgSz w:w="11910" w:h="16845"/>
          <w:pgMar w:top="1440" w:right="1440" w:bottom="1440" w:left="1440" w:header="720" w:footer="720" w:gutter="0"/>
          <w:cols w:space="720"/>
        </w:sectPr>
      </w:pPr>
    </w:p>
    <w:p w14:paraId="48C419B0" w14:textId="585E6F04" w:rsidR="003D5D3A" w:rsidRPr="005A000A" w:rsidRDefault="00761987" w:rsidP="003D5D3A">
      <w:pPr>
        <w:spacing w:before="120" w:after="120" w:line="336" w:lineRule="auto"/>
        <w:rPr>
          <w:rFonts w:ascii="Bodoni 72 Book" w:eastAsia="Montserrat" w:hAnsi="Bodoni 72 Book" w:cs="Montserrat"/>
          <w:color w:val="897B75"/>
          <w:sz w:val="64"/>
          <w:szCs w:val="64"/>
          <w:lang w:val="pt-BR"/>
        </w:rPr>
      </w:pPr>
      <w:r>
        <w:rPr>
          <w:rFonts w:ascii="Bodoni 72 Book" w:eastAsia="Montserrat" w:hAnsi="Bodoni 72 Book" w:cs="Montserrat"/>
          <w:color w:val="897B75"/>
          <w:sz w:val="64"/>
          <w:szCs w:val="64"/>
          <w:lang w:val="pt-BR"/>
        </w:rPr>
        <w:lastRenderedPageBreak/>
        <w:t>Parte</w:t>
      </w:r>
      <w:r w:rsidR="003D5D3A" w:rsidRPr="005A000A">
        <w:rPr>
          <w:rFonts w:ascii="Bodoni 72 Book" w:eastAsia="Montserrat" w:hAnsi="Bodoni 72 Book" w:cs="Montserrat"/>
          <w:color w:val="897B75"/>
          <w:sz w:val="64"/>
          <w:szCs w:val="64"/>
          <w:lang w:val="pt-BR"/>
        </w:rPr>
        <w:t xml:space="preserve"> A - </w:t>
      </w:r>
      <w:r w:rsidRPr="005A000A">
        <w:rPr>
          <w:rFonts w:ascii="Bodoni 72 Book" w:eastAsia="Montserrat" w:hAnsi="Bodoni 72 Book" w:cs="Montserrat"/>
          <w:color w:val="897B75"/>
          <w:sz w:val="64"/>
          <w:szCs w:val="64"/>
          <w:lang w:val="pt-BR"/>
        </w:rPr>
        <w:t>Questionário</w:t>
      </w:r>
    </w:p>
    <w:p w14:paraId="627B893E" w14:textId="5D0DA823" w:rsidR="00761987" w:rsidRDefault="00761987" w:rsidP="00761987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E7223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O questionário é estruturado em diferentes características que se correlacionam com a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Pr="00761987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orientação da CQNUMC e as melhores práticas internacionais.</w:t>
      </w:r>
    </w:p>
    <w:p w14:paraId="384D0AA2" w14:textId="77777777" w:rsidR="00761987" w:rsidRPr="005814EB" w:rsidRDefault="00761987" w:rsidP="00761987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5814EB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Para completar este questionário, os usuários devem considerar o escopo de cada coluna da seguinte forma:</w:t>
      </w:r>
    </w:p>
    <w:p w14:paraId="7E9DAD08" w14:textId="2B83C1C9" w:rsidR="00761987" w:rsidRPr="00831B1E" w:rsidRDefault="00761987" w:rsidP="00761987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Perguntas: </w:t>
      </w:r>
      <w:r w:rsidRPr="00831B1E">
        <w:rPr>
          <w:rFonts w:ascii="Avenir Next" w:hAnsi="Avenir Next"/>
          <w:color w:val="000000"/>
          <w:sz w:val="20"/>
          <w:szCs w:val="20"/>
          <w:lang w:val="pt-BR"/>
        </w:rPr>
        <w:t>apresenta perguntas orientadoras para os usuários.</w:t>
      </w:r>
      <w:r>
        <w:rPr>
          <w:rFonts w:ascii="Avenir Next" w:hAnsi="Avenir Next"/>
          <w:color w:val="000000"/>
          <w:sz w:val="20"/>
          <w:szCs w:val="20"/>
          <w:lang w:val="pt-BR"/>
        </w:rPr>
        <w:t xml:space="preserve"> </w:t>
      </w:r>
    </w:p>
    <w:p w14:paraId="0204175A" w14:textId="77777777" w:rsidR="00761987" w:rsidRPr="00831B1E" w:rsidRDefault="00761987" w:rsidP="00761987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831B1E">
        <w:rPr>
          <w:rFonts w:ascii="Avenir Next" w:hAnsi="Avenir Next"/>
          <w:noProof/>
          <w:sz w:val="20"/>
          <w:szCs w:val="20"/>
          <w:lang w:val="pt-BR"/>
        </w:rPr>
        <w:drawing>
          <wp:anchor distT="0" distB="0" distL="114300" distR="114300" simplePos="0" relativeHeight="251660288" behindDoc="1" locked="0" layoutInCell="1" allowOverlap="1" wp14:anchorId="1A61AF1B" wp14:editId="30875CB3">
            <wp:simplePos x="0" y="0"/>
            <wp:positionH relativeFrom="column">
              <wp:posOffset>5080000</wp:posOffset>
            </wp:positionH>
            <wp:positionV relativeFrom="paragraph">
              <wp:posOffset>244879</wp:posOffset>
            </wp:positionV>
            <wp:extent cx="335915" cy="268605"/>
            <wp:effectExtent l="0" t="0" r="0" b="0"/>
            <wp:wrapSquare wrapText="bothSides"/>
            <wp:docPr id="19" name="Drawing 1" descr="f2129134-ddea-4724-8cc3-5f6403e83ad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2129134-ddea-4724-8cc3-5f6403e83add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</w:t>
      </w:r>
      <w:r w:rsidRPr="00831B1E">
        <w:rPr>
          <w:rFonts w:ascii="Avenir Next" w:hAnsi="Avenir Next"/>
          <w:color w:val="000000"/>
          <w:sz w:val="20"/>
          <w:szCs w:val="20"/>
          <w:lang w:val="pt-BR"/>
        </w:rPr>
        <w:t>ontuação: o seguinte guia de pontuação deve ser aplicado pelos usuários</w:t>
      </w:r>
    </w:p>
    <w:p w14:paraId="72008C84" w14:textId="2DDB48AF" w:rsidR="00761987" w:rsidRPr="00831B1E" w:rsidRDefault="00761987" w:rsidP="00761987">
      <w:pPr>
        <w:pStyle w:val="ListParagraph"/>
        <w:numPr>
          <w:ilvl w:val="1"/>
          <w:numId w:val="16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831B1E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Sim: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O SOI </w:t>
      </w:r>
      <w:r w:rsidRPr="009E1107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incorpora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este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aspecto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de acordo com as diretrizes e/ou melhores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Pr="0095172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práticas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pertinentes.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</w:p>
    <w:p w14:paraId="1A1BA655" w14:textId="4FD4E25B" w:rsidR="00761987" w:rsidRPr="00831B1E" w:rsidRDefault="00761987" w:rsidP="00761987">
      <w:pPr>
        <w:pStyle w:val="ListParagraph"/>
        <w:numPr>
          <w:ilvl w:val="1"/>
          <w:numId w:val="16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831B1E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 xml:space="preserve"> Parcialmente: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O SOI </w:t>
      </w:r>
      <w:r w:rsidRPr="009E1107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incorpora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parcialmente este aspecto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de acordo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com as diretrizes e/ou melhores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Pr="0095172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prática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s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, porém existem algumas lacunas que precisam ser abordadas.</w:t>
      </w:r>
    </w:p>
    <w:p w14:paraId="31C8D762" w14:textId="4A0F144D" w:rsidR="00761987" w:rsidRPr="00831B1E" w:rsidRDefault="00761987" w:rsidP="00761987">
      <w:pPr>
        <w:pStyle w:val="ListParagraph"/>
        <w:numPr>
          <w:ilvl w:val="1"/>
          <w:numId w:val="16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831B1E">
        <w:rPr>
          <w:b/>
          <w:bCs/>
          <w:noProof/>
          <w:lang w:val="pt-BR"/>
        </w:rPr>
        <w:drawing>
          <wp:anchor distT="0" distB="0" distL="114300" distR="114300" simplePos="0" relativeHeight="251661312" behindDoc="0" locked="0" layoutInCell="1" allowOverlap="1" wp14:anchorId="53FC1A37" wp14:editId="0A859D36">
            <wp:simplePos x="0" y="0"/>
            <wp:positionH relativeFrom="column">
              <wp:posOffset>5135418</wp:posOffset>
            </wp:positionH>
            <wp:positionV relativeFrom="paragraph">
              <wp:posOffset>226406</wp:posOffset>
            </wp:positionV>
            <wp:extent cx="322580" cy="281940"/>
            <wp:effectExtent l="0" t="0" r="0" b="0"/>
            <wp:wrapSquare wrapText="bothSides"/>
            <wp:docPr id="20" name="Drawing 2" descr="581de573-096f-4890-afa8-efcc489609f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81de573-096f-4890-afa8-efcc489609f0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B1E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Não: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O SOI 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não incorpora este aspecto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de acordo com as diretrizes e/ou melhores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Pr="00951723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prática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s</w:t>
      </w:r>
      <w:r w:rsidRPr="00831B1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, e existem lacunas notáveis que precisam ser abordadas para garantir plena conformidade. </w:t>
      </w:r>
    </w:p>
    <w:p w14:paraId="00FB8F8A" w14:textId="77777777" w:rsidR="00761987" w:rsidRPr="00831B1E" w:rsidRDefault="00761987" w:rsidP="00761987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831B1E">
        <w:rPr>
          <w:rFonts w:ascii="Avenir Next" w:hAnsi="Avenir Next"/>
          <w:color w:val="000000"/>
          <w:sz w:val="20"/>
          <w:szCs w:val="20"/>
          <w:lang w:val="pt-BR"/>
        </w:rPr>
        <w:t>Constatações: uma oportunidade para os usuários oferecerem informações e/ou esclarecimentos em relação à sua pontuação.</w:t>
      </w:r>
    </w:p>
    <w:p w14:paraId="5DC57951" w14:textId="32CAC618" w:rsidR="003D5D3A" w:rsidRPr="005A000A" w:rsidRDefault="00761987" w:rsidP="00761987">
      <w:pPr>
        <w:pStyle w:val="ListParagraph"/>
        <w:numPr>
          <w:ilvl w:val="0"/>
          <w:numId w:val="16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831B1E">
        <w:rPr>
          <w:rFonts w:ascii="Avenir Next" w:hAnsi="Avenir Next"/>
          <w:color w:val="000000"/>
          <w:sz w:val="20"/>
          <w:szCs w:val="20"/>
          <w:lang w:val="pt-BR"/>
        </w:rPr>
        <w:t xml:space="preserve">Meios de verificação: os usuários devem identificar qualquer documentação usada para apoiar sua pontuação, incluindo hiperlinks com informações </w:t>
      </w:r>
      <w:r w:rsidR="00CF1393" w:rsidRPr="00831B1E">
        <w:rPr>
          <w:rFonts w:ascii="Avenir Next" w:hAnsi="Avenir Next"/>
          <w:color w:val="000000"/>
          <w:sz w:val="20"/>
          <w:szCs w:val="20"/>
          <w:lang w:val="pt-BR"/>
        </w:rPr>
        <w:t>adiciona</w:t>
      </w:r>
      <w:r w:rsidR="00CF1393">
        <w:rPr>
          <w:rFonts w:ascii="Avenir Next" w:hAnsi="Avenir Next"/>
          <w:color w:val="000000"/>
          <w:sz w:val="20"/>
          <w:szCs w:val="20"/>
          <w:lang w:val="pt-BR"/>
        </w:rPr>
        <w:t>is</w:t>
      </w:r>
      <w:r w:rsidR="00CF1393" w:rsidRPr="002F04EB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.</w:t>
      </w:r>
    </w:p>
    <w:p w14:paraId="5E3BBCC8" w14:textId="77777777" w:rsidR="003D5D3A" w:rsidRPr="005A000A" w:rsidRDefault="003D5D3A" w:rsidP="003D5D3A">
      <w:pPr>
        <w:spacing w:line="336" w:lineRule="auto"/>
        <w:ind w:left="40"/>
        <w:rPr>
          <w:rFonts w:ascii="IBM Plex Sans" w:eastAsia="IBM Plex Sans" w:hAnsi="IBM Plex Sans" w:cs="IBM Plex Sans"/>
          <w:color w:val="000000"/>
          <w:lang w:val="pt-BR"/>
        </w:rPr>
      </w:pPr>
    </w:p>
    <w:p w14:paraId="5BF619D0" w14:textId="77777777" w:rsidR="003D5D3A" w:rsidRPr="005A000A" w:rsidRDefault="003D5D3A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12CDE1D2" w14:textId="77777777" w:rsidR="003D5D3A" w:rsidRPr="005A000A" w:rsidRDefault="003D5D3A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2AB394DE" w14:textId="77777777" w:rsidR="003D5D3A" w:rsidRPr="005A000A" w:rsidRDefault="003D5D3A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58A37D95" w14:textId="77777777" w:rsidR="003D5D3A" w:rsidRPr="005A000A" w:rsidRDefault="003D5D3A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14E3C595" w14:textId="77777777" w:rsidR="003D5D3A" w:rsidRPr="005A000A" w:rsidRDefault="003D5D3A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3395EAD6" w14:textId="77777777" w:rsidR="003D5D3A" w:rsidRPr="005A000A" w:rsidRDefault="003D5D3A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67F8BF61" w14:textId="77777777" w:rsidR="003D5D3A" w:rsidRPr="005A000A" w:rsidRDefault="003D5D3A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5214B4B6" w14:textId="77777777" w:rsidR="003D5D3A" w:rsidRPr="005A000A" w:rsidRDefault="003D5D3A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7F659E41" w14:textId="77777777" w:rsidR="003D5D3A" w:rsidRPr="005A000A" w:rsidRDefault="003D5D3A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  <w:sectPr w:rsidR="003D5D3A" w:rsidRPr="005A000A" w:rsidSect="00480509">
          <w:pgSz w:w="11910" w:h="16845"/>
          <w:pgMar w:top="1440" w:right="1440" w:bottom="1440" w:left="1440" w:header="720" w:footer="720" w:gutter="0"/>
          <w:cols w:space="720"/>
        </w:sectPr>
      </w:pPr>
    </w:p>
    <w:p w14:paraId="1FDE7F4E" w14:textId="47123430" w:rsidR="00A355C3" w:rsidRPr="005A000A" w:rsidRDefault="00000000">
      <w:pPr>
        <w:spacing w:before="120" w:after="120" w:line="336" w:lineRule="auto"/>
        <w:rPr>
          <w:rFonts w:ascii="Bodoni 72 Book" w:hAnsi="Bodoni 72 Book"/>
          <w:lang w:val="pt-BR"/>
        </w:rPr>
      </w:pPr>
      <w:r w:rsidRPr="005A000A">
        <w:rPr>
          <w:rFonts w:ascii="Bodoni 72 Book" w:eastAsia="IBM Plex Sans" w:hAnsi="Bodoni 72 Book" w:cs="IBM Plex Sans"/>
          <w:color w:val="000000"/>
          <w:lang w:val="pt-BR"/>
        </w:rPr>
        <w:lastRenderedPageBreak/>
        <w:t xml:space="preserve">   </w:t>
      </w:r>
      <w:r w:rsidR="00761987" w:rsidRPr="005A000A">
        <w:rPr>
          <w:rFonts w:ascii="Bodoni 72 Book" w:eastAsia="Montserrat" w:hAnsi="Bodoni 72 Book" w:cs="Montserrat"/>
          <w:color w:val="897B75"/>
          <w:sz w:val="64"/>
          <w:szCs w:val="64"/>
          <w:lang w:val="pt-BR"/>
        </w:rPr>
        <w:t>Questionário</w:t>
      </w:r>
    </w:p>
    <w:p w14:paraId="35C6A5AF" w14:textId="77777777" w:rsidR="00A355C3" w:rsidRPr="005A000A" w:rsidRDefault="00A355C3">
      <w:pPr>
        <w:pBdr>
          <w:bottom w:val="single" w:sz="6" w:space="0" w:color="897C75"/>
        </w:pBdr>
        <w:spacing w:before="120" w:after="120" w:line="0" w:lineRule="auto"/>
        <w:rPr>
          <w:lang w:val="pt-BR"/>
        </w:rPr>
      </w:pPr>
    </w:p>
    <w:tbl>
      <w:tblPr>
        <w:tblStyle w:val="TableGrid"/>
        <w:tblW w:w="14312" w:type="dxa"/>
        <w:tblBorders>
          <w:top w:val="single" w:sz="6" w:space="0" w:color="E0CCBF"/>
          <w:left w:val="single" w:sz="6" w:space="0" w:color="E0CCBF"/>
          <w:bottom w:val="single" w:sz="6" w:space="0" w:color="E0CCBF"/>
          <w:right w:val="single" w:sz="6" w:space="0" w:color="E0CCBF"/>
          <w:insideH w:val="single" w:sz="6" w:space="0" w:color="E0CCBF"/>
          <w:insideV w:val="single" w:sz="6" w:space="0" w:color="E0CCBF"/>
        </w:tblBorders>
        <w:tblLook w:val="04A0" w:firstRow="1" w:lastRow="0" w:firstColumn="1" w:lastColumn="0" w:noHBand="0" w:noVBand="1"/>
      </w:tblPr>
      <w:tblGrid>
        <w:gridCol w:w="4203"/>
        <w:gridCol w:w="2293"/>
        <w:gridCol w:w="4292"/>
        <w:gridCol w:w="3524"/>
      </w:tblGrid>
      <w:tr w:rsidR="003D5D3A" w:rsidRPr="00FD6211" w14:paraId="41D28E6E" w14:textId="77777777" w:rsidTr="003D5D3A">
        <w:tc>
          <w:tcPr>
            <w:tcW w:w="14312" w:type="dxa"/>
            <w:gridSpan w:val="4"/>
            <w:shd w:val="clear" w:color="auto" w:fill="E0CCBF"/>
            <w:vAlign w:val="center"/>
          </w:tcPr>
          <w:p w14:paraId="351A022F" w14:textId="294430E6" w:rsidR="003D5D3A" w:rsidRPr="00FD6211" w:rsidRDefault="003D5D3A" w:rsidP="003D5D3A">
            <w:pPr>
              <w:rPr>
                <w:rFonts w:ascii="Avenir Next Ultra Light" w:hAnsi="Avenir Next Ultra Light"/>
                <w:b/>
                <w:bCs/>
                <w:lang w:val="pt-BR"/>
              </w:rPr>
            </w:pPr>
            <w:r w:rsidRPr="00FD6211">
              <w:rPr>
                <w:rFonts w:ascii="Avenir Next Ultra Light" w:hAnsi="Avenir Next Ultra Light"/>
                <w:b/>
                <w:bCs/>
                <w:lang w:val="pt-BR"/>
              </w:rPr>
              <w:t xml:space="preserve">Contexto nacional </w:t>
            </w:r>
            <w:r w:rsidR="00761987" w:rsidRPr="00FD6211">
              <w:rPr>
                <w:rFonts w:ascii="Avenir Next Ultra Light" w:hAnsi="Avenir Next Ultra Light"/>
                <w:b/>
                <w:bCs/>
                <w:lang w:val="pt-BR"/>
              </w:rPr>
              <w:t>e</w:t>
            </w:r>
            <w:r w:rsidRPr="00FD6211">
              <w:rPr>
                <w:rFonts w:ascii="Avenir Next Ultra Light" w:hAnsi="Avenir Next Ultra Light"/>
                <w:b/>
                <w:bCs/>
                <w:lang w:val="pt-BR"/>
              </w:rPr>
              <w:t xml:space="preserve"> </w:t>
            </w:r>
            <w:r w:rsidR="00761987" w:rsidRPr="00FD6211">
              <w:rPr>
                <w:rFonts w:ascii="Avenir Next Ultra Light" w:hAnsi="Avenir Next Ultra Light"/>
                <w:b/>
                <w:bCs/>
                <w:lang w:val="pt-BR"/>
              </w:rPr>
              <w:t>visão</w:t>
            </w:r>
            <w:r w:rsidRPr="00FD6211">
              <w:rPr>
                <w:rFonts w:ascii="Avenir Next Ultra Light" w:hAnsi="Avenir Next Ultra Light"/>
                <w:b/>
                <w:bCs/>
                <w:lang w:val="pt-BR"/>
              </w:rPr>
              <w:t xml:space="preserve"> g</w:t>
            </w:r>
            <w:r w:rsidR="00761987" w:rsidRPr="00FD6211">
              <w:rPr>
                <w:rFonts w:ascii="Avenir Next Ultra Light" w:hAnsi="Avenir Next Ultra Light"/>
                <w:b/>
                <w:bCs/>
                <w:lang w:val="pt-BR"/>
              </w:rPr>
              <w:t>e</w:t>
            </w:r>
            <w:r w:rsidRPr="00FD6211">
              <w:rPr>
                <w:rFonts w:ascii="Avenir Next Ultra Light" w:hAnsi="Avenir Next Ultra Light"/>
                <w:b/>
                <w:bCs/>
                <w:lang w:val="pt-BR"/>
              </w:rPr>
              <w:t>ral de REDD+</w:t>
            </w:r>
          </w:p>
        </w:tc>
      </w:tr>
      <w:tr w:rsidR="00761987" w:rsidRPr="00FD6211" w14:paraId="7C3F8B1D" w14:textId="77777777" w:rsidTr="00761987">
        <w:tc>
          <w:tcPr>
            <w:tcW w:w="4203" w:type="dxa"/>
            <w:shd w:val="clear" w:color="auto" w:fill="FFF1DA"/>
            <w:vAlign w:val="center"/>
          </w:tcPr>
          <w:p w14:paraId="45AEE522" w14:textId="08C90F93" w:rsidR="00761987" w:rsidRPr="00FD6211" w:rsidRDefault="00761987" w:rsidP="00761987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FD6211">
              <w:rPr>
                <w:rFonts w:ascii="Bodoni 72 Book" w:hAnsi="Bodoni 72 Book"/>
                <w:sz w:val="22"/>
                <w:szCs w:val="22"/>
                <w:lang w:val="pt-BR"/>
              </w:rPr>
              <w:t>Perguntas</w:t>
            </w:r>
          </w:p>
        </w:tc>
        <w:tc>
          <w:tcPr>
            <w:tcW w:w="2293" w:type="dxa"/>
            <w:shd w:val="clear" w:color="auto" w:fill="FFF1DA"/>
            <w:vAlign w:val="center"/>
          </w:tcPr>
          <w:p w14:paraId="285D1FA0" w14:textId="77777777" w:rsidR="00761987" w:rsidRPr="00FD6211" w:rsidRDefault="00761987" w:rsidP="00761987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FD6211">
              <w:rPr>
                <w:rFonts w:ascii="Bodoni 72 Book" w:hAnsi="Bodoni 72 Book"/>
                <w:sz w:val="22"/>
                <w:szCs w:val="22"/>
                <w:lang w:val="pt-BR"/>
              </w:rPr>
              <w:t>Pontuação</w:t>
            </w:r>
          </w:p>
          <w:p w14:paraId="48BA3990" w14:textId="1792F420" w:rsidR="00761987" w:rsidRPr="00FD6211" w:rsidRDefault="00761987" w:rsidP="00761987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FD6211">
              <w:rPr>
                <w:rFonts w:ascii="Bodoni 72 Book" w:hAnsi="Bodoni 72 Book"/>
                <w:sz w:val="22"/>
                <w:szCs w:val="22"/>
                <w:lang w:val="pt-BR"/>
              </w:rPr>
              <w:t>(Sim/Não/Parcialmente)</w:t>
            </w:r>
          </w:p>
        </w:tc>
        <w:tc>
          <w:tcPr>
            <w:tcW w:w="4292" w:type="dxa"/>
            <w:shd w:val="clear" w:color="auto" w:fill="FFF1DA"/>
            <w:vAlign w:val="center"/>
          </w:tcPr>
          <w:p w14:paraId="2B3F1C8F" w14:textId="17A898A7" w:rsidR="00761987" w:rsidRPr="00FD6211" w:rsidRDefault="00761987" w:rsidP="00761987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FD6211">
              <w:rPr>
                <w:rFonts w:ascii="Bodoni 72 Book" w:hAnsi="Bodoni 72 Book"/>
                <w:sz w:val="22"/>
                <w:szCs w:val="22"/>
                <w:lang w:val="pt-BR"/>
              </w:rPr>
              <w:t>Constatações</w:t>
            </w:r>
          </w:p>
        </w:tc>
        <w:tc>
          <w:tcPr>
            <w:tcW w:w="3524" w:type="dxa"/>
            <w:shd w:val="clear" w:color="auto" w:fill="FFF1DA"/>
            <w:vAlign w:val="center"/>
          </w:tcPr>
          <w:p w14:paraId="2F376C39" w14:textId="05E03CC5" w:rsidR="00761987" w:rsidRPr="00FD6211" w:rsidRDefault="00761987" w:rsidP="00761987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FD6211">
              <w:rPr>
                <w:rFonts w:ascii="Bodoni 72 Book" w:hAnsi="Bodoni 72 Book"/>
                <w:sz w:val="22"/>
                <w:szCs w:val="22"/>
                <w:lang w:val="pt-BR"/>
              </w:rPr>
              <w:t>Meios de verificação</w:t>
            </w:r>
          </w:p>
        </w:tc>
      </w:tr>
      <w:tr w:rsidR="003D5D3A" w:rsidRPr="00FD6211" w14:paraId="7808C9BD" w14:textId="77777777" w:rsidTr="00761987">
        <w:tc>
          <w:tcPr>
            <w:tcW w:w="4203" w:type="dxa"/>
          </w:tcPr>
          <w:p w14:paraId="2CC8D185" w14:textId="219BC127" w:rsidR="003D5D3A" w:rsidRPr="00FD6211" w:rsidRDefault="00761987" w:rsidP="003D5D3A">
            <w:pPr>
              <w:pStyle w:val="ListParagraph"/>
              <w:numPr>
                <w:ilvl w:val="0"/>
                <w:numId w:val="17"/>
              </w:numPr>
              <w:rPr>
                <w:rFonts w:ascii="Avenir Next" w:hAnsi="Avenir Next"/>
                <w:b/>
                <w:bCs/>
                <w:sz w:val="20"/>
                <w:szCs w:val="20"/>
                <w:lang w:val="pt-BR"/>
              </w:rPr>
            </w:pPr>
            <w:r w:rsidRPr="00FD6211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SOI fornece informações sobre o alcance, escala e estágio de design e implementação das ações de REDD+ que estão sujeitas a este período de relatório?</w:t>
            </w:r>
          </w:p>
          <w:p w14:paraId="2F1AAA11" w14:textId="77777777" w:rsidR="003D5D3A" w:rsidRPr="00FD6211" w:rsidRDefault="003D5D3A" w:rsidP="00CE0AF6">
            <w:pPr>
              <w:pStyle w:val="ListParagraph"/>
              <w:rPr>
                <w:rFonts w:ascii="Avenir Next" w:hAnsi="Avenir Next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2CFB2458" w14:textId="77777777" w:rsidR="003D5D3A" w:rsidRPr="00FD6211" w:rsidRDefault="003D5D3A" w:rsidP="00CE0AF6">
            <w:pPr>
              <w:jc w:val="center"/>
              <w:rPr>
                <w:rFonts w:ascii="Avenir Next" w:hAnsi="Avenir Next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4292" w:type="dxa"/>
          </w:tcPr>
          <w:p w14:paraId="39AE1976" w14:textId="77777777" w:rsidR="003D5D3A" w:rsidRPr="00FD6211" w:rsidRDefault="003D5D3A" w:rsidP="00CE0AF6">
            <w:pPr>
              <w:jc w:val="center"/>
              <w:rPr>
                <w:rFonts w:ascii="Avenir Next" w:hAnsi="Avenir Next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3524" w:type="dxa"/>
          </w:tcPr>
          <w:p w14:paraId="6713A75F" w14:textId="77777777" w:rsidR="003D5D3A" w:rsidRPr="00FD6211" w:rsidRDefault="003D5D3A" w:rsidP="00CE0AF6">
            <w:pPr>
              <w:jc w:val="center"/>
              <w:rPr>
                <w:rFonts w:ascii="Avenir Next" w:hAnsi="Avenir Next"/>
                <w:b/>
                <w:bCs/>
                <w:sz w:val="20"/>
                <w:szCs w:val="20"/>
                <w:lang w:val="pt-BR"/>
              </w:rPr>
            </w:pPr>
          </w:p>
        </w:tc>
      </w:tr>
      <w:tr w:rsidR="003D5D3A" w:rsidRPr="00FD6211" w14:paraId="069D1B56" w14:textId="77777777" w:rsidTr="00761987">
        <w:tc>
          <w:tcPr>
            <w:tcW w:w="4203" w:type="dxa"/>
          </w:tcPr>
          <w:p w14:paraId="04305CE3" w14:textId="4226D246" w:rsidR="003D5D3A" w:rsidRPr="00FD6211" w:rsidRDefault="00761987" w:rsidP="003D5D3A">
            <w:pPr>
              <w:pStyle w:val="ListParagraph"/>
              <w:numPr>
                <w:ilvl w:val="0"/>
                <w:numId w:val="17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FD6211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SOI fornece informações sobre os acordos e processos gerais de governança vigentes para responder aos requisitos de salvaguardas para REDD+ (por exemplo, o SIS)?</w:t>
            </w:r>
          </w:p>
          <w:p w14:paraId="4E68224B" w14:textId="77777777" w:rsidR="003D5D3A" w:rsidRPr="00FD6211" w:rsidRDefault="003D5D3A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0BF86912" w14:textId="77777777" w:rsidR="003D5D3A" w:rsidRPr="00FD6211" w:rsidRDefault="003D5D3A" w:rsidP="00CE0AF6">
            <w:pPr>
              <w:jc w:val="center"/>
              <w:rPr>
                <w:rFonts w:ascii="Avenir Next" w:hAnsi="Avenir Next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4292" w:type="dxa"/>
          </w:tcPr>
          <w:p w14:paraId="53E39880" w14:textId="77777777" w:rsidR="003D5D3A" w:rsidRPr="00FD6211" w:rsidRDefault="003D5D3A" w:rsidP="00CE0AF6">
            <w:pPr>
              <w:jc w:val="center"/>
              <w:rPr>
                <w:rFonts w:ascii="Avenir Next" w:hAnsi="Avenir Next"/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3524" w:type="dxa"/>
          </w:tcPr>
          <w:p w14:paraId="5D5E52D8" w14:textId="77777777" w:rsidR="003D5D3A" w:rsidRPr="00FD6211" w:rsidRDefault="003D5D3A" w:rsidP="00CE0AF6">
            <w:pPr>
              <w:jc w:val="center"/>
              <w:rPr>
                <w:rFonts w:ascii="Avenir Next" w:hAnsi="Avenir Next"/>
                <w:b/>
                <w:bCs/>
                <w:sz w:val="20"/>
                <w:szCs w:val="20"/>
                <w:lang w:val="pt-BR"/>
              </w:rPr>
            </w:pPr>
          </w:p>
        </w:tc>
      </w:tr>
      <w:tr w:rsidR="003D5D3A" w:rsidRPr="00FD6211" w14:paraId="31A9F771" w14:textId="77777777" w:rsidTr="003D5D3A">
        <w:tc>
          <w:tcPr>
            <w:tcW w:w="14312" w:type="dxa"/>
            <w:gridSpan w:val="4"/>
            <w:shd w:val="clear" w:color="auto" w:fill="E0CCBF"/>
            <w:vAlign w:val="center"/>
          </w:tcPr>
          <w:p w14:paraId="09B9A2DF" w14:textId="3F58EFC8" w:rsidR="003D5D3A" w:rsidRPr="00FD6211" w:rsidRDefault="00761987" w:rsidP="003D5D3A">
            <w:pPr>
              <w:rPr>
                <w:rFonts w:ascii="Avenir Next Ultra Light" w:hAnsi="Avenir Next Ultra Light"/>
                <w:b/>
                <w:bCs/>
                <w:lang w:val="pt-BR"/>
              </w:rPr>
            </w:pPr>
            <w:r w:rsidRPr="00FD6211">
              <w:rPr>
                <w:rFonts w:ascii="Avenir Next Ultra Light" w:hAnsi="Avenir Next Ultra Light"/>
                <w:b/>
                <w:bCs/>
                <w:lang w:val="pt-BR"/>
              </w:rPr>
              <w:t>Descrição</w:t>
            </w:r>
            <w:r w:rsidR="003D5D3A" w:rsidRPr="00FD6211">
              <w:rPr>
                <w:rFonts w:ascii="Avenir Next Ultra Light" w:hAnsi="Avenir Next Ultra Light"/>
                <w:b/>
                <w:bCs/>
                <w:lang w:val="pt-BR"/>
              </w:rPr>
              <w:t xml:space="preserve"> de cada salvaguarda</w:t>
            </w:r>
          </w:p>
        </w:tc>
      </w:tr>
      <w:tr w:rsidR="00761987" w:rsidRPr="00FD6211" w14:paraId="19205A4B" w14:textId="77777777" w:rsidTr="00761987">
        <w:tc>
          <w:tcPr>
            <w:tcW w:w="4203" w:type="dxa"/>
            <w:shd w:val="clear" w:color="auto" w:fill="FFF1DA"/>
            <w:vAlign w:val="center"/>
          </w:tcPr>
          <w:p w14:paraId="608666E4" w14:textId="544B2105" w:rsidR="00761987" w:rsidRPr="00FD6211" w:rsidRDefault="00761987" w:rsidP="00761987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FD6211">
              <w:rPr>
                <w:rFonts w:ascii="Bodoni 72 Book" w:hAnsi="Bodoni 72 Book"/>
                <w:sz w:val="22"/>
                <w:szCs w:val="22"/>
                <w:lang w:val="pt-BR"/>
              </w:rPr>
              <w:t>Perguntas</w:t>
            </w:r>
          </w:p>
        </w:tc>
        <w:tc>
          <w:tcPr>
            <w:tcW w:w="2293" w:type="dxa"/>
            <w:shd w:val="clear" w:color="auto" w:fill="FFF1DA"/>
            <w:vAlign w:val="center"/>
          </w:tcPr>
          <w:p w14:paraId="3C3009C2" w14:textId="77777777" w:rsidR="00761987" w:rsidRPr="00FD6211" w:rsidRDefault="00761987" w:rsidP="00761987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FD6211">
              <w:rPr>
                <w:rFonts w:ascii="Bodoni 72 Book" w:hAnsi="Bodoni 72 Book"/>
                <w:sz w:val="22"/>
                <w:szCs w:val="22"/>
                <w:lang w:val="pt-BR"/>
              </w:rPr>
              <w:t>Pontuação</w:t>
            </w:r>
          </w:p>
          <w:p w14:paraId="157B5B35" w14:textId="19F33224" w:rsidR="00761987" w:rsidRPr="00FD6211" w:rsidRDefault="00761987" w:rsidP="00761987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FD6211">
              <w:rPr>
                <w:rFonts w:ascii="Bodoni 72 Book" w:hAnsi="Bodoni 72 Book"/>
                <w:sz w:val="22"/>
                <w:szCs w:val="22"/>
                <w:lang w:val="pt-BR"/>
              </w:rPr>
              <w:t>(Sim/Não/Parcialmente)</w:t>
            </w:r>
          </w:p>
        </w:tc>
        <w:tc>
          <w:tcPr>
            <w:tcW w:w="4292" w:type="dxa"/>
            <w:shd w:val="clear" w:color="auto" w:fill="FFF1DA"/>
            <w:vAlign w:val="center"/>
          </w:tcPr>
          <w:p w14:paraId="3866B095" w14:textId="5EA49F44" w:rsidR="00761987" w:rsidRPr="00FD6211" w:rsidRDefault="00761987" w:rsidP="00761987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FD6211">
              <w:rPr>
                <w:rFonts w:ascii="Bodoni 72 Book" w:hAnsi="Bodoni 72 Book"/>
                <w:sz w:val="22"/>
                <w:szCs w:val="22"/>
                <w:lang w:val="pt-BR"/>
              </w:rPr>
              <w:t>Constatações</w:t>
            </w:r>
          </w:p>
        </w:tc>
        <w:tc>
          <w:tcPr>
            <w:tcW w:w="3524" w:type="dxa"/>
            <w:shd w:val="clear" w:color="auto" w:fill="FFF1DA"/>
            <w:vAlign w:val="center"/>
          </w:tcPr>
          <w:p w14:paraId="56912409" w14:textId="5C4069E2" w:rsidR="00761987" w:rsidRPr="00FD6211" w:rsidRDefault="00761987" w:rsidP="00761987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FD6211">
              <w:rPr>
                <w:rFonts w:ascii="Bodoni 72 Book" w:hAnsi="Bodoni 72 Book"/>
                <w:sz w:val="22"/>
                <w:szCs w:val="22"/>
                <w:lang w:val="pt-BR"/>
              </w:rPr>
              <w:t>Meios de verificação</w:t>
            </w:r>
          </w:p>
        </w:tc>
      </w:tr>
      <w:tr w:rsidR="003D5D3A" w:rsidRPr="00FD6211" w14:paraId="300CE186" w14:textId="77777777" w:rsidTr="00761987">
        <w:tc>
          <w:tcPr>
            <w:tcW w:w="4203" w:type="dxa"/>
          </w:tcPr>
          <w:p w14:paraId="0934ADBD" w14:textId="49183F9E" w:rsidR="003D5D3A" w:rsidRPr="00FD6211" w:rsidRDefault="00761987" w:rsidP="003D5D3A">
            <w:pPr>
              <w:pStyle w:val="ListParagraph"/>
              <w:numPr>
                <w:ilvl w:val="0"/>
                <w:numId w:val="17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FD6211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SOI inclui uma descrição de cada salvaguarda de acordo com as circunstâncias nacionais?</w:t>
            </w:r>
          </w:p>
          <w:p w14:paraId="44F9F1DE" w14:textId="77777777" w:rsidR="003D5D3A" w:rsidRPr="00FD6211" w:rsidDel="00F57F2E" w:rsidRDefault="003D5D3A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43C0B30E" w14:textId="77777777" w:rsidR="003D5D3A" w:rsidRPr="00FD6211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92" w:type="dxa"/>
          </w:tcPr>
          <w:p w14:paraId="52A1FF05" w14:textId="77777777" w:rsidR="003D5D3A" w:rsidRPr="00FD6211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4" w:type="dxa"/>
          </w:tcPr>
          <w:p w14:paraId="2BC141FA" w14:textId="77777777" w:rsidR="003D5D3A" w:rsidRPr="00FD6211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3D5D3A" w:rsidRPr="00FD6211" w14:paraId="37D88D4D" w14:textId="77777777" w:rsidTr="00761987">
        <w:tc>
          <w:tcPr>
            <w:tcW w:w="4203" w:type="dxa"/>
          </w:tcPr>
          <w:p w14:paraId="79349304" w14:textId="141D0E3C" w:rsidR="003D5D3A" w:rsidRPr="00FD6211" w:rsidRDefault="00761987" w:rsidP="003D5D3A">
            <w:pPr>
              <w:pStyle w:val="ListParagraph"/>
              <w:numPr>
                <w:ilvl w:val="0"/>
                <w:numId w:val="17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FD6211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 xml:space="preserve">SOI fornece informações sobre o processo de participação das partes interessadas realizado para adotar a descrição de cada </w:t>
            </w:r>
            <w:r w:rsidRPr="00FD6211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lastRenderedPageBreak/>
              <w:t>salvaguarda?</w:t>
            </w:r>
            <w:r w:rsidR="003D5D3A" w:rsidRPr="00FD6211">
              <w:rPr>
                <w:rFonts w:ascii="Avenir Next" w:hAnsi="Avenir Next"/>
                <w:sz w:val="20"/>
                <w:szCs w:val="20"/>
                <w:lang w:val="pt-BR"/>
              </w:rPr>
              <w:t>?</w:t>
            </w:r>
          </w:p>
          <w:p w14:paraId="70F8E946" w14:textId="77777777" w:rsidR="003D5D3A" w:rsidRPr="00FD6211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  <w:p w14:paraId="181A2721" w14:textId="77777777" w:rsidR="003D5D3A" w:rsidRPr="00FD6211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3E5BEAD7" w14:textId="77777777" w:rsidR="003D5D3A" w:rsidRPr="00FD6211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92" w:type="dxa"/>
          </w:tcPr>
          <w:p w14:paraId="674D0961" w14:textId="77777777" w:rsidR="003D5D3A" w:rsidRPr="00FD6211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4" w:type="dxa"/>
          </w:tcPr>
          <w:p w14:paraId="116DAED3" w14:textId="77777777" w:rsidR="003D5D3A" w:rsidRPr="00FD6211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3D5D3A" w:rsidRPr="00FD6211" w14:paraId="3A864A3C" w14:textId="77777777" w:rsidTr="003D5D3A">
        <w:tc>
          <w:tcPr>
            <w:tcW w:w="14312" w:type="dxa"/>
            <w:gridSpan w:val="4"/>
            <w:shd w:val="clear" w:color="auto" w:fill="E0CCBF"/>
            <w:vAlign w:val="center"/>
          </w:tcPr>
          <w:p w14:paraId="79F1563D" w14:textId="74AAAAF0" w:rsidR="003D5D3A" w:rsidRPr="00FD6211" w:rsidRDefault="00761987" w:rsidP="003D5D3A">
            <w:pPr>
              <w:rPr>
                <w:rFonts w:ascii="Avenir Next Ultra Light" w:hAnsi="Avenir Next Ultra Light"/>
                <w:b/>
                <w:bCs/>
                <w:lang w:val="pt-BR"/>
              </w:rPr>
            </w:pPr>
            <w:r w:rsidRPr="00FD6211">
              <w:rPr>
                <w:rFonts w:ascii="Avenir Next Ultra Light" w:hAnsi="Avenir Next Ultra Light"/>
                <w:b/>
                <w:bCs/>
                <w:lang w:val="pt-BR"/>
              </w:rPr>
              <w:t>Conformidade</w:t>
            </w:r>
            <w:r w:rsidR="003D5D3A" w:rsidRPr="00FD6211">
              <w:rPr>
                <w:rFonts w:ascii="Avenir Next Ultra Light" w:hAnsi="Avenir Next Ultra Light"/>
                <w:b/>
                <w:bCs/>
                <w:lang w:val="pt-BR"/>
              </w:rPr>
              <w:t xml:space="preserve"> </w:t>
            </w:r>
            <w:r w:rsidRPr="00FD6211">
              <w:rPr>
                <w:rFonts w:ascii="Avenir Next Ultra Light" w:hAnsi="Avenir Next Ultra Light"/>
                <w:b/>
                <w:bCs/>
                <w:lang w:val="pt-BR"/>
              </w:rPr>
              <w:t>com</w:t>
            </w:r>
            <w:r w:rsidR="003D5D3A" w:rsidRPr="00FD6211">
              <w:rPr>
                <w:rFonts w:ascii="Avenir Next Ultra Light" w:hAnsi="Avenir Next Ultra Light"/>
                <w:b/>
                <w:bCs/>
                <w:lang w:val="pt-BR"/>
              </w:rPr>
              <w:t xml:space="preserve"> as salvaguardas REDD+</w:t>
            </w:r>
          </w:p>
        </w:tc>
      </w:tr>
      <w:tr w:rsidR="00761987" w:rsidRPr="00FD6211" w14:paraId="2FC22E64" w14:textId="77777777" w:rsidTr="00761987">
        <w:tc>
          <w:tcPr>
            <w:tcW w:w="4203" w:type="dxa"/>
            <w:shd w:val="clear" w:color="auto" w:fill="FFF1DA"/>
            <w:vAlign w:val="center"/>
          </w:tcPr>
          <w:p w14:paraId="4CDAC52D" w14:textId="270F057F" w:rsidR="00761987" w:rsidRPr="00FD6211" w:rsidRDefault="00761987" w:rsidP="00761987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FD6211">
              <w:rPr>
                <w:rFonts w:ascii="Bodoni 72 Book" w:hAnsi="Bodoni 72 Book"/>
                <w:sz w:val="22"/>
                <w:szCs w:val="22"/>
                <w:lang w:val="pt-BR"/>
              </w:rPr>
              <w:t>Perguntas</w:t>
            </w:r>
          </w:p>
        </w:tc>
        <w:tc>
          <w:tcPr>
            <w:tcW w:w="2293" w:type="dxa"/>
            <w:shd w:val="clear" w:color="auto" w:fill="FFF1DA"/>
            <w:vAlign w:val="center"/>
          </w:tcPr>
          <w:p w14:paraId="297E8279" w14:textId="77777777" w:rsidR="00761987" w:rsidRPr="00FD6211" w:rsidRDefault="00761987" w:rsidP="00761987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FD6211">
              <w:rPr>
                <w:rFonts w:ascii="Bodoni 72 Book" w:hAnsi="Bodoni 72 Book"/>
                <w:sz w:val="22"/>
                <w:szCs w:val="22"/>
                <w:lang w:val="pt-BR"/>
              </w:rPr>
              <w:t>Pontuação</w:t>
            </w:r>
          </w:p>
          <w:p w14:paraId="2E965805" w14:textId="75602FB9" w:rsidR="00761987" w:rsidRPr="00FD6211" w:rsidRDefault="00761987" w:rsidP="00761987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FD6211">
              <w:rPr>
                <w:rFonts w:ascii="Bodoni 72 Book" w:hAnsi="Bodoni 72 Book"/>
                <w:sz w:val="22"/>
                <w:szCs w:val="22"/>
                <w:lang w:val="pt-BR"/>
              </w:rPr>
              <w:t>(Sim/Não/Parcialmente)</w:t>
            </w:r>
          </w:p>
        </w:tc>
        <w:tc>
          <w:tcPr>
            <w:tcW w:w="4292" w:type="dxa"/>
            <w:shd w:val="clear" w:color="auto" w:fill="FFF1DA"/>
            <w:vAlign w:val="center"/>
          </w:tcPr>
          <w:p w14:paraId="58BB7315" w14:textId="4102E4FA" w:rsidR="00761987" w:rsidRPr="00FD6211" w:rsidRDefault="00761987" w:rsidP="00761987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FD6211">
              <w:rPr>
                <w:rFonts w:ascii="Bodoni 72 Book" w:hAnsi="Bodoni 72 Book"/>
                <w:sz w:val="22"/>
                <w:szCs w:val="22"/>
                <w:lang w:val="pt-BR"/>
              </w:rPr>
              <w:t>Constatações</w:t>
            </w:r>
          </w:p>
        </w:tc>
        <w:tc>
          <w:tcPr>
            <w:tcW w:w="3524" w:type="dxa"/>
            <w:shd w:val="clear" w:color="auto" w:fill="FFF1DA"/>
            <w:vAlign w:val="center"/>
          </w:tcPr>
          <w:p w14:paraId="2A3AE078" w14:textId="3E67933F" w:rsidR="00761987" w:rsidRPr="00FD6211" w:rsidRDefault="00761987" w:rsidP="00761987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FD6211">
              <w:rPr>
                <w:rFonts w:ascii="Bodoni 72 Book" w:hAnsi="Bodoni 72 Book"/>
                <w:sz w:val="22"/>
                <w:szCs w:val="22"/>
                <w:lang w:val="pt-BR"/>
              </w:rPr>
              <w:t>Meios de verificação</w:t>
            </w:r>
          </w:p>
        </w:tc>
      </w:tr>
      <w:tr w:rsidR="003D5D3A" w:rsidRPr="00FD6211" w14:paraId="2640E191" w14:textId="77777777" w:rsidTr="00761987">
        <w:tc>
          <w:tcPr>
            <w:tcW w:w="4203" w:type="dxa"/>
          </w:tcPr>
          <w:p w14:paraId="477A8127" w14:textId="59733087" w:rsidR="003D5D3A" w:rsidRPr="00FD6211" w:rsidRDefault="00FD6211" w:rsidP="003D5D3A">
            <w:pPr>
              <w:pStyle w:val="ListParagraph"/>
              <w:numPr>
                <w:ilvl w:val="0"/>
                <w:numId w:val="17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FD6211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SOI identifica e descreve os acordos legais e institucionais gerais que garantem a implementação de cada salvaguarda?</w:t>
            </w:r>
          </w:p>
          <w:p w14:paraId="41B9924E" w14:textId="77777777" w:rsidR="003D5D3A" w:rsidRPr="00FD6211" w:rsidRDefault="003D5D3A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072E8BB6" w14:textId="77777777" w:rsidR="003D5D3A" w:rsidRPr="00FD6211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92" w:type="dxa"/>
          </w:tcPr>
          <w:p w14:paraId="1FB282A3" w14:textId="77777777" w:rsidR="003D5D3A" w:rsidRPr="00FD6211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4" w:type="dxa"/>
          </w:tcPr>
          <w:p w14:paraId="1E4A5F90" w14:textId="77777777" w:rsidR="003D5D3A" w:rsidRPr="00FD6211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3D5D3A" w:rsidRPr="00FD6211" w14:paraId="088124EE" w14:textId="77777777" w:rsidTr="00761987">
        <w:tc>
          <w:tcPr>
            <w:tcW w:w="4203" w:type="dxa"/>
          </w:tcPr>
          <w:p w14:paraId="221A51BE" w14:textId="2188A147" w:rsidR="003D5D3A" w:rsidRPr="00FD6211" w:rsidRDefault="00FD6211" w:rsidP="003D5D3A">
            <w:pPr>
              <w:pStyle w:val="ListParagraph"/>
              <w:numPr>
                <w:ilvl w:val="0"/>
                <w:numId w:val="17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FD6211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SOI inclui uma descrição dos arranjos legais e institucionais particulares vinculados à ação de REDD+ relevante que garantem a implementação de cada salvaguarda?</w:t>
            </w:r>
          </w:p>
          <w:p w14:paraId="66BEA63C" w14:textId="77777777" w:rsidR="003D5D3A" w:rsidRPr="00FD6211" w:rsidRDefault="003D5D3A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3AFC3F30" w14:textId="77777777" w:rsidR="003D5D3A" w:rsidRPr="00FD6211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92" w:type="dxa"/>
          </w:tcPr>
          <w:p w14:paraId="7A10E3C9" w14:textId="77777777" w:rsidR="003D5D3A" w:rsidRPr="00FD6211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4" w:type="dxa"/>
          </w:tcPr>
          <w:p w14:paraId="74FF7D91" w14:textId="77777777" w:rsidR="003D5D3A" w:rsidRPr="00FD6211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3D5D3A" w:rsidRPr="00FD6211" w14:paraId="61041E5C" w14:textId="77777777" w:rsidTr="00761987">
        <w:tc>
          <w:tcPr>
            <w:tcW w:w="4203" w:type="dxa"/>
          </w:tcPr>
          <w:p w14:paraId="5D727EAC" w14:textId="14F5F98B" w:rsidR="003D5D3A" w:rsidRPr="00FD6211" w:rsidRDefault="00FD6211" w:rsidP="003D5D3A">
            <w:pPr>
              <w:pStyle w:val="ListParagraph"/>
              <w:numPr>
                <w:ilvl w:val="0"/>
                <w:numId w:val="17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FD6211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SOI fornece informações sobre os resultados particulares das ações de REDD+ em correlação com cada salvaguarda?</w:t>
            </w:r>
          </w:p>
          <w:p w14:paraId="0C727FE1" w14:textId="77777777" w:rsidR="003D5D3A" w:rsidRPr="00FD6211" w:rsidRDefault="003D5D3A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1FA083BA" w14:textId="77777777" w:rsidR="003D5D3A" w:rsidRPr="00FD6211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92" w:type="dxa"/>
          </w:tcPr>
          <w:p w14:paraId="6BEA37C1" w14:textId="77777777" w:rsidR="003D5D3A" w:rsidRPr="00FD6211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4" w:type="dxa"/>
          </w:tcPr>
          <w:p w14:paraId="1369E85E" w14:textId="77777777" w:rsidR="003D5D3A" w:rsidRPr="00FD6211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3D5D3A" w:rsidRPr="00FD6211" w14:paraId="5ABEAB54" w14:textId="77777777" w:rsidTr="00761987">
        <w:tc>
          <w:tcPr>
            <w:tcW w:w="4203" w:type="dxa"/>
          </w:tcPr>
          <w:p w14:paraId="760DA2CF" w14:textId="535307D8" w:rsidR="003D5D3A" w:rsidRPr="00FD6211" w:rsidRDefault="00FD6211" w:rsidP="003D5D3A">
            <w:pPr>
              <w:pStyle w:val="ListParagraph"/>
              <w:numPr>
                <w:ilvl w:val="0"/>
                <w:numId w:val="17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FD6211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SOI identifica os desafios (incluindo as necessidades de capacidade, financeiras e técnicas) para garantir o cumprimento das salvaguardas e identifica possíveis medidas de melhoria?</w:t>
            </w:r>
          </w:p>
          <w:p w14:paraId="042BD4EA" w14:textId="77777777" w:rsidR="003D5D3A" w:rsidRPr="00FD6211" w:rsidRDefault="003D5D3A" w:rsidP="00CE0AF6">
            <w:pPr>
              <w:pStyle w:val="ListParagraph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2293" w:type="dxa"/>
          </w:tcPr>
          <w:p w14:paraId="2093D646" w14:textId="77777777" w:rsidR="003D5D3A" w:rsidRPr="00FD6211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92" w:type="dxa"/>
          </w:tcPr>
          <w:p w14:paraId="628FF6EC" w14:textId="77777777" w:rsidR="003D5D3A" w:rsidRPr="00FD6211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4" w:type="dxa"/>
          </w:tcPr>
          <w:p w14:paraId="48009E1D" w14:textId="77777777" w:rsidR="003D5D3A" w:rsidRPr="00FD6211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3D5D3A" w:rsidRPr="00FD6211" w14:paraId="2E322D6E" w14:textId="77777777" w:rsidTr="003D5D3A">
        <w:tc>
          <w:tcPr>
            <w:tcW w:w="14312" w:type="dxa"/>
            <w:gridSpan w:val="4"/>
            <w:shd w:val="clear" w:color="auto" w:fill="E0CCBF"/>
            <w:vAlign w:val="center"/>
          </w:tcPr>
          <w:p w14:paraId="5C7C78C6" w14:textId="4CCE95AC" w:rsidR="003D5D3A" w:rsidRPr="00FD6211" w:rsidRDefault="00FD6211" w:rsidP="003D5D3A">
            <w:pPr>
              <w:rPr>
                <w:rFonts w:ascii="Avenir Next Ultra Light" w:hAnsi="Avenir Next Ultra Light"/>
                <w:b/>
                <w:bCs/>
                <w:lang w:val="pt-BR"/>
              </w:rPr>
            </w:pPr>
            <w:r w:rsidRPr="00FD6211">
              <w:rPr>
                <w:rFonts w:ascii="Avenir Next Ultra Light" w:hAnsi="Avenir Next Ultra Light"/>
                <w:b/>
                <w:bCs/>
                <w:lang w:val="pt-BR"/>
              </w:rPr>
              <w:t>Participação</w:t>
            </w:r>
            <w:r w:rsidR="003D5D3A" w:rsidRPr="00FD6211">
              <w:rPr>
                <w:rFonts w:ascii="Avenir Next Ultra Light" w:hAnsi="Avenir Next Ultra Light"/>
                <w:b/>
                <w:bCs/>
                <w:lang w:val="pt-BR"/>
              </w:rPr>
              <w:t xml:space="preserve"> d</w:t>
            </w:r>
            <w:r w:rsidRPr="00FD6211">
              <w:rPr>
                <w:rFonts w:ascii="Avenir Next Ultra Light" w:hAnsi="Avenir Next Ultra Light"/>
                <w:b/>
                <w:bCs/>
                <w:lang w:val="pt-BR"/>
              </w:rPr>
              <w:t>o</w:t>
            </w:r>
            <w:r w:rsidR="003D5D3A" w:rsidRPr="00FD6211">
              <w:rPr>
                <w:rFonts w:ascii="Avenir Next Ultra Light" w:hAnsi="Avenir Next Ultra Light"/>
                <w:b/>
                <w:bCs/>
                <w:lang w:val="pt-BR"/>
              </w:rPr>
              <w:t xml:space="preserve">s </w:t>
            </w:r>
            <w:r w:rsidRPr="00FD6211">
              <w:rPr>
                <w:rFonts w:ascii="Avenir Next Ultra Light" w:hAnsi="Avenir Next Ultra Light"/>
                <w:b/>
                <w:bCs/>
                <w:lang w:val="pt-BR"/>
              </w:rPr>
              <w:t>interessados</w:t>
            </w:r>
          </w:p>
        </w:tc>
      </w:tr>
      <w:tr w:rsidR="00761987" w:rsidRPr="00FD6211" w14:paraId="5631E0D7" w14:textId="77777777" w:rsidTr="00761987">
        <w:tc>
          <w:tcPr>
            <w:tcW w:w="4203" w:type="dxa"/>
            <w:shd w:val="clear" w:color="auto" w:fill="FFF1DA"/>
            <w:vAlign w:val="center"/>
          </w:tcPr>
          <w:p w14:paraId="5605A535" w14:textId="089CCF9E" w:rsidR="00761987" w:rsidRPr="00FD6211" w:rsidRDefault="00761987" w:rsidP="00761987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FD6211">
              <w:rPr>
                <w:rFonts w:ascii="Bodoni 72 Book" w:hAnsi="Bodoni 72 Book"/>
                <w:sz w:val="22"/>
                <w:szCs w:val="22"/>
                <w:lang w:val="pt-BR"/>
              </w:rPr>
              <w:lastRenderedPageBreak/>
              <w:t>Perguntas</w:t>
            </w:r>
          </w:p>
        </w:tc>
        <w:tc>
          <w:tcPr>
            <w:tcW w:w="2293" w:type="dxa"/>
            <w:shd w:val="clear" w:color="auto" w:fill="FFF1DA"/>
            <w:vAlign w:val="center"/>
          </w:tcPr>
          <w:p w14:paraId="544C646E" w14:textId="77777777" w:rsidR="00761987" w:rsidRPr="00FD6211" w:rsidRDefault="00761987" w:rsidP="00761987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FD6211">
              <w:rPr>
                <w:rFonts w:ascii="Bodoni 72 Book" w:hAnsi="Bodoni 72 Book"/>
                <w:sz w:val="22"/>
                <w:szCs w:val="22"/>
                <w:lang w:val="pt-BR"/>
              </w:rPr>
              <w:t>Pontuação</w:t>
            </w:r>
          </w:p>
          <w:p w14:paraId="5B1632D3" w14:textId="11B5A60F" w:rsidR="00761987" w:rsidRPr="00FD6211" w:rsidRDefault="00761987" w:rsidP="00761987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FD6211">
              <w:rPr>
                <w:rFonts w:ascii="Bodoni 72 Book" w:hAnsi="Bodoni 72 Book"/>
                <w:sz w:val="22"/>
                <w:szCs w:val="22"/>
                <w:lang w:val="pt-BR"/>
              </w:rPr>
              <w:t>(Sim/Não/Parcialmente)</w:t>
            </w:r>
          </w:p>
        </w:tc>
        <w:tc>
          <w:tcPr>
            <w:tcW w:w="4292" w:type="dxa"/>
            <w:shd w:val="clear" w:color="auto" w:fill="FFF1DA"/>
            <w:vAlign w:val="center"/>
          </w:tcPr>
          <w:p w14:paraId="7DA8B3A6" w14:textId="06780199" w:rsidR="00761987" w:rsidRPr="00FD6211" w:rsidRDefault="00761987" w:rsidP="00761987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FD6211">
              <w:rPr>
                <w:rFonts w:ascii="Bodoni 72 Book" w:hAnsi="Bodoni 72 Book"/>
                <w:sz w:val="22"/>
                <w:szCs w:val="22"/>
                <w:lang w:val="pt-BR"/>
              </w:rPr>
              <w:t>Constatações</w:t>
            </w:r>
          </w:p>
        </w:tc>
        <w:tc>
          <w:tcPr>
            <w:tcW w:w="3524" w:type="dxa"/>
            <w:shd w:val="clear" w:color="auto" w:fill="FFF1DA"/>
            <w:vAlign w:val="center"/>
          </w:tcPr>
          <w:p w14:paraId="4C00CFD4" w14:textId="2E2F935D" w:rsidR="00761987" w:rsidRPr="00FD6211" w:rsidRDefault="00761987" w:rsidP="00761987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FD6211">
              <w:rPr>
                <w:rFonts w:ascii="Bodoni 72 Book" w:hAnsi="Bodoni 72 Book"/>
                <w:sz w:val="22"/>
                <w:szCs w:val="22"/>
                <w:lang w:val="pt-BR"/>
              </w:rPr>
              <w:t>Meios de verificação</w:t>
            </w:r>
          </w:p>
        </w:tc>
      </w:tr>
      <w:tr w:rsidR="003D5D3A" w:rsidRPr="00FD6211" w14:paraId="0D56560B" w14:textId="77777777" w:rsidTr="00761987">
        <w:tc>
          <w:tcPr>
            <w:tcW w:w="4203" w:type="dxa"/>
          </w:tcPr>
          <w:p w14:paraId="528B765D" w14:textId="30450FE7" w:rsidR="003D5D3A" w:rsidRPr="00FD6211" w:rsidRDefault="00FD6211" w:rsidP="003D5D3A">
            <w:pPr>
              <w:pStyle w:val="ListParagraph"/>
              <w:numPr>
                <w:ilvl w:val="0"/>
                <w:numId w:val="17"/>
              </w:num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FD6211">
              <w:rPr>
                <w:rFonts w:ascii="Avenir Next" w:hAnsi="Avenir Next"/>
                <w:color w:val="000000"/>
                <w:sz w:val="20"/>
                <w:szCs w:val="20"/>
                <w:lang w:val="pt-BR"/>
              </w:rPr>
              <w:t>O SOI apresenta informações sobre como foi preparado?</w:t>
            </w:r>
          </w:p>
        </w:tc>
        <w:tc>
          <w:tcPr>
            <w:tcW w:w="2293" w:type="dxa"/>
          </w:tcPr>
          <w:p w14:paraId="4B48BAF5" w14:textId="77777777" w:rsidR="003D5D3A" w:rsidRPr="00FD6211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4292" w:type="dxa"/>
          </w:tcPr>
          <w:p w14:paraId="4039156E" w14:textId="77777777" w:rsidR="003D5D3A" w:rsidRPr="00FD6211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3524" w:type="dxa"/>
          </w:tcPr>
          <w:p w14:paraId="68F8014A" w14:textId="77777777" w:rsidR="003D5D3A" w:rsidRPr="00FD6211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</w:tbl>
    <w:p w14:paraId="05B5FD05" w14:textId="77777777" w:rsidR="003D5D3A" w:rsidRPr="005A000A" w:rsidRDefault="003D5D3A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0A40BFF1" w14:textId="77777777" w:rsidR="003D5D3A" w:rsidRPr="005A000A" w:rsidRDefault="003D5D3A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17215147" w14:textId="77777777" w:rsidR="003D5D3A" w:rsidRPr="005A000A" w:rsidRDefault="003D5D3A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19F8A22C" w14:textId="77777777" w:rsidR="003D5D3A" w:rsidRPr="005A000A" w:rsidRDefault="003D5D3A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22F3D06F" w14:textId="77777777" w:rsidR="003D5D3A" w:rsidRPr="005A000A" w:rsidRDefault="003D5D3A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743E5ACF" w14:textId="77777777" w:rsidR="003D5D3A" w:rsidRPr="005A000A" w:rsidRDefault="003D5D3A">
      <w:pPr>
        <w:spacing w:before="120" w:after="120" w:line="336" w:lineRule="auto"/>
        <w:rPr>
          <w:rFonts w:ascii="IBM Plex Sans" w:eastAsia="IBM Plex Sans" w:hAnsi="IBM Plex Sans" w:cs="IBM Plex Sans"/>
          <w:color w:val="000000"/>
          <w:lang w:val="pt-BR"/>
        </w:rPr>
      </w:pPr>
    </w:p>
    <w:p w14:paraId="28A17134" w14:textId="7E8FF887" w:rsidR="00A355C3" w:rsidRPr="005A000A" w:rsidRDefault="00000000">
      <w:pPr>
        <w:spacing w:before="120" w:after="120" w:line="336" w:lineRule="auto"/>
        <w:rPr>
          <w:lang w:val="pt-BR"/>
        </w:rPr>
      </w:pPr>
      <w:r w:rsidRPr="005A000A">
        <w:rPr>
          <w:rFonts w:ascii="IBM Plex Sans" w:eastAsia="IBM Plex Sans" w:hAnsi="IBM Plex Sans" w:cs="IBM Plex Sans"/>
          <w:color w:val="000000"/>
          <w:lang w:val="pt-BR"/>
        </w:rPr>
        <w:t xml:space="preserve"> </w:t>
      </w:r>
      <w:r w:rsidRPr="005A000A">
        <w:rPr>
          <w:rFonts w:ascii="IBM Plex Sans" w:eastAsia="IBM Plex Sans" w:hAnsi="IBM Plex Sans" w:cs="IBM Plex Sans"/>
          <w:color w:val="00646A"/>
          <w:lang w:val="pt-BR"/>
        </w:rPr>
        <w:t xml:space="preserve"> </w:t>
      </w:r>
    </w:p>
    <w:p w14:paraId="3D78C860" w14:textId="77777777" w:rsidR="003D5D3A" w:rsidRPr="005A000A" w:rsidRDefault="003D5D3A">
      <w:pPr>
        <w:spacing w:before="120" w:after="120" w:line="336" w:lineRule="auto"/>
        <w:rPr>
          <w:rFonts w:ascii="Montserrat" w:eastAsia="Montserrat" w:hAnsi="Montserrat" w:cs="Montserrat"/>
          <w:color w:val="897C75"/>
          <w:sz w:val="64"/>
          <w:szCs w:val="64"/>
          <w:lang w:val="pt-BR"/>
        </w:rPr>
      </w:pPr>
    </w:p>
    <w:p w14:paraId="4C013088" w14:textId="77777777" w:rsidR="003D5D3A" w:rsidRPr="005A000A" w:rsidRDefault="003D5D3A">
      <w:pPr>
        <w:spacing w:before="120" w:after="120" w:line="336" w:lineRule="auto"/>
        <w:rPr>
          <w:rFonts w:ascii="Montserrat" w:eastAsia="Montserrat" w:hAnsi="Montserrat" w:cs="Montserrat"/>
          <w:color w:val="897C75"/>
          <w:sz w:val="64"/>
          <w:szCs w:val="64"/>
          <w:lang w:val="pt-BR"/>
        </w:rPr>
        <w:sectPr w:rsidR="003D5D3A" w:rsidRPr="005A000A" w:rsidSect="00480509">
          <w:pgSz w:w="16845" w:h="11910" w:orient="landscape"/>
          <w:pgMar w:top="1440" w:right="1440" w:bottom="1440" w:left="1440" w:header="720" w:footer="720" w:gutter="0"/>
          <w:cols w:space="720"/>
          <w:docGrid w:linePitch="326"/>
        </w:sectPr>
      </w:pPr>
    </w:p>
    <w:p w14:paraId="5480AA89" w14:textId="069B5DA1" w:rsidR="00A355C3" w:rsidRPr="005A000A" w:rsidRDefault="00FD6211">
      <w:pPr>
        <w:spacing w:before="120" w:after="120" w:line="336" w:lineRule="auto"/>
        <w:rPr>
          <w:rFonts w:ascii="Bodoni 72 Book" w:hAnsi="Bodoni 72 Book"/>
          <w:lang w:val="pt-BR"/>
        </w:rPr>
      </w:pPr>
      <w:r w:rsidRPr="00FD6211">
        <w:rPr>
          <w:rFonts w:ascii="Bodoni 72 Book" w:eastAsia="Montserrat" w:hAnsi="Bodoni 72 Book" w:cs="Montserrat"/>
          <w:color w:val="897C75"/>
          <w:sz w:val="64"/>
          <w:szCs w:val="64"/>
          <w:lang w:val="pt-BR"/>
        </w:rPr>
        <w:lastRenderedPageBreak/>
        <w:t>Parte B - Modelo de Relatório para a Avaliação Qualitativa</w:t>
      </w:r>
    </w:p>
    <w:p w14:paraId="671B3105" w14:textId="77777777" w:rsidR="00A355C3" w:rsidRPr="005A000A" w:rsidRDefault="00A355C3">
      <w:pPr>
        <w:pBdr>
          <w:bottom w:val="single" w:sz="6" w:space="0" w:color="897C75"/>
        </w:pBdr>
        <w:spacing w:before="120" w:after="120" w:line="0" w:lineRule="auto"/>
        <w:rPr>
          <w:lang w:val="pt-BR"/>
        </w:rPr>
      </w:pPr>
    </w:p>
    <w:p w14:paraId="58046353" w14:textId="77777777" w:rsidR="00FD6211" w:rsidRPr="00FD6211" w:rsidRDefault="00FD6211" w:rsidP="00FD6211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FD6211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Para completar este modelo de relatório, os usuários (com o apoio de uma organização internacional especializada selecionada) devem considerar as respostas fornecidas na 'Parte A' acima. </w:t>
      </w:r>
    </w:p>
    <w:p w14:paraId="3B634F87" w14:textId="77777777" w:rsidR="00FD6211" w:rsidRPr="00FD6211" w:rsidRDefault="00FD6211" w:rsidP="00FD6211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FD6211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Ao completar este modelo, os usuários devem considerar o escopo de cada coluna da seguinte forma: </w:t>
      </w:r>
    </w:p>
    <w:p w14:paraId="10DCB4E7" w14:textId="77777777" w:rsidR="00FD6211" w:rsidRDefault="00FD6211" w:rsidP="00FD6211">
      <w:pPr>
        <w:pStyle w:val="ListParagraph"/>
        <w:numPr>
          <w:ilvl w:val="0"/>
          <w:numId w:val="15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FD6211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2 (Lacunas Identificadas): para os usuários identificarem e resumirem as principais lacunas (questões de não conformidade) identificadas em correlação com cada uma das melhores práticas internacionais, ou seja, quando a pontuação identificada foi 'Parcialmente' ou 'Não' na 'Parte A'. </w:t>
      </w:r>
    </w:p>
    <w:p w14:paraId="5F6DBCC1" w14:textId="67B449F1" w:rsidR="003D5D3A" w:rsidRPr="00CF1393" w:rsidRDefault="00FD6211" w:rsidP="00FD6211">
      <w:pPr>
        <w:pStyle w:val="ListParagraph"/>
        <w:numPr>
          <w:ilvl w:val="0"/>
          <w:numId w:val="15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FD6211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3 (Recomendações): para os usuários identificarem ações/recomendações a serem tomadas para resolver essas principais deficiências ou lacunas.  </w:t>
      </w:r>
    </w:p>
    <w:tbl>
      <w:tblPr>
        <w:tblStyle w:val="TableGrid"/>
        <w:tblW w:w="13948" w:type="dxa"/>
        <w:tblBorders>
          <w:top w:val="single" w:sz="6" w:space="0" w:color="E0CCBF"/>
          <w:left w:val="single" w:sz="6" w:space="0" w:color="E0CCBF"/>
          <w:bottom w:val="single" w:sz="6" w:space="0" w:color="E0CCBF"/>
          <w:right w:val="single" w:sz="6" w:space="0" w:color="E0CCBF"/>
          <w:insideH w:val="single" w:sz="6" w:space="0" w:color="E0CCBF"/>
          <w:insideV w:val="single" w:sz="6" w:space="0" w:color="E0CCBF"/>
        </w:tblBorders>
        <w:tblLook w:val="04A0" w:firstRow="1" w:lastRow="0" w:firstColumn="1" w:lastColumn="0" w:noHBand="0" w:noVBand="1"/>
      </w:tblPr>
      <w:tblGrid>
        <w:gridCol w:w="3660"/>
        <w:gridCol w:w="4995"/>
        <w:gridCol w:w="5293"/>
      </w:tblGrid>
      <w:tr w:rsidR="003D5D3A" w:rsidRPr="005A000A" w14:paraId="43AA7807" w14:textId="77777777" w:rsidTr="003D5D3A">
        <w:trPr>
          <w:trHeight w:val="300"/>
        </w:trPr>
        <w:tc>
          <w:tcPr>
            <w:tcW w:w="3660" w:type="dxa"/>
            <w:shd w:val="clear" w:color="auto" w:fill="E0CCBF"/>
            <w:vAlign w:val="center"/>
          </w:tcPr>
          <w:p w14:paraId="5A5B33A8" w14:textId="01DFD055" w:rsidR="003D5D3A" w:rsidRPr="005A000A" w:rsidRDefault="00FD6211" w:rsidP="003D5D3A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>
              <w:rPr>
                <w:rFonts w:ascii="Bodoni 72 Book" w:hAnsi="Bodoni 72 Book"/>
                <w:sz w:val="22"/>
                <w:szCs w:val="22"/>
                <w:lang w:val="pt-BR"/>
              </w:rPr>
              <w:t>Melhor</w:t>
            </w:r>
            <w:r w:rsidR="003D5D3A" w:rsidRPr="005A000A">
              <w:rPr>
                <w:rFonts w:ascii="Bodoni 72 Book" w:hAnsi="Bodoni 72 Book"/>
                <w:sz w:val="22"/>
                <w:szCs w:val="22"/>
                <w:lang w:val="pt-BR"/>
              </w:rPr>
              <w:t xml:space="preserve">es </w:t>
            </w:r>
            <w:r w:rsidRPr="005A000A">
              <w:rPr>
                <w:rFonts w:ascii="Bodoni 72 Book" w:hAnsi="Bodoni 72 Book"/>
                <w:sz w:val="22"/>
                <w:szCs w:val="22"/>
                <w:lang w:val="pt-BR"/>
              </w:rPr>
              <w:t>práticas</w:t>
            </w:r>
            <w:r w:rsidR="003D5D3A" w:rsidRPr="005A000A">
              <w:rPr>
                <w:rFonts w:ascii="Bodoni 72 Book" w:hAnsi="Bodoni 72 Book"/>
                <w:sz w:val="22"/>
                <w:szCs w:val="22"/>
                <w:lang w:val="pt-BR"/>
              </w:rPr>
              <w:t xml:space="preserve"> internacion</w:t>
            </w:r>
            <w:r>
              <w:rPr>
                <w:rFonts w:ascii="Bodoni 72 Book" w:hAnsi="Bodoni 72 Book"/>
                <w:sz w:val="22"/>
                <w:szCs w:val="22"/>
                <w:lang w:val="pt-BR"/>
              </w:rPr>
              <w:t>ai</w:t>
            </w:r>
            <w:r w:rsidR="003D5D3A" w:rsidRPr="005A000A">
              <w:rPr>
                <w:rFonts w:ascii="Bodoni 72 Book" w:hAnsi="Bodoni 72 Book"/>
                <w:sz w:val="22"/>
                <w:szCs w:val="22"/>
                <w:lang w:val="pt-BR"/>
              </w:rPr>
              <w:t>s</w:t>
            </w:r>
          </w:p>
        </w:tc>
        <w:tc>
          <w:tcPr>
            <w:tcW w:w="4995" w:type="dxa"/>
            <w:shd w:val="clear" w:color="auto" w:fill="E0CCBF"/>
            <w:vAlign w:val="center"/>
          </w:tcPr>
          <w:p w14:paraId="77D99091" w14:textId="5CE8B8D2" w:rsidR="003D5D3A" w:rsidRPr="005A000A" w:rsidRDefault="00FD6211" w:rsidP="003D5D3A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>
              <w:rPr>
                <w:rFonts w:ascii="Bodoni 72 Book" w:hAnsi="Bodoni 72 Book"/>
                <w:sz w:val="22"/>
                <w:szCs w:val="22"/>
                <w:lang w:val="pt-BR"/>
              </w:rPr>
              <w:t xml:space="preserve">Lacunas </w:t>
            </w:r>
            <w:r w:rsidRPr="005A000A">
              <w:rPr>
                <w:rFonts w:ascii="Bodoni 72 Book" w:hAnsi="Bodoni 72 Book"/>
                <w:sz w:val="22"/>
                <w:szCs w:val="22"/>
                <w:lang w:val="pt-BR"/>
              </w:rPr>
              <w:t>identificadas</w:t>
            </w:r>
          </w:p>
        </w:tc>
        <w:tc>
          <w:tcPr>
            <w:tcW w:w="5293" w:type="dxa"/>
            <w:shd w:val="clear" w:color="auto" w:fill="E0CCBF"/>
            <w:vAlign w:val="center"/>
          </w:tcPr>
          <w:p w14:paraId="708BF106" w14:textId="1702EF67" w:rsidR="003D5D3A" w:rsidRPr="005A000A" w:rsidRDefault="00FD6211" w:rsidP="003D5D3A">
            <w:pPr>
              <w:jc w:val="center"/>
              <w:rPr>
                <w:rFonts w:ascii="Bodoni 72 Book" w:hAnsi="Bodoni 72 Book"/>
                <w:sz w:val="22"/>
                <w:szCs w:val="22"/>
                <w:lang w:val="pt-BR"/>
              </w:rPr>
            </w:pPr>
            <w:r w:rsidRPr="005A000A">
              <w:rPr>
                <w:rFonts w:ascii="Bodoni 72 Book" w:hAnsi="Bodoni 72 Book"/>
                <w:sz w:val="22"/>
                <w:szCs w:val="22"/>
                <w:lang w:val="pt-BR"/>
              </w:rPr>
              <w:t>Recomendações</w:t>
            </w:r>
          </w:p>
        </w:tc>
      </w:tr>
      <w:tr w:rsidR="003D5D3A" w:rsidRPr="005A000A" w14:paraId="5E6968C9" w14:textId="77777777" w:rsidTr="003D5D3A">
        <w:trPr>
          <w:trHeight w:val="597"/>
        </w:trPr>
        <w:tc>
          <w:tcPr>
            <w:tcW w:w="3660" w:type="dxa"/>
            <w:shd w:val="clear" w:color="auto" w:fill="FFF1DA"/>
            <w:vAlign w:val="center"/>
          </w:tcPr>
          <w:p w14:paraId="7DCB8054" w14:textId="6EE99FD8" w:rsidR="003D5D3A" w:rsidRPr="005A000A" w:rsidRDefault="003D5D3A" w:rsidP="003D5D3A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5A000A">
              <w:rPr>
                <w:rFonts w:ascii="Avenir Next" w:hAnsi="Avenir Next"/>
                <w:sz w:val="20"/>
                <w:szCs w:val="20"/>
                <w:lang w:val="pt-BR"/>
              </w:rPr>
              <w:t xml:space="preserve">Contexto nacional </w:t>
            </w:r>
            <w:r w:rsidR="00FD6211">
              <w:rPr>
                <w:rFonts w:ascii="Avenir Next" w:hAnsi="Avenir Next"/>
                <w:sz w:val="20"/>
                <w:szCs w:val="20"/>
                <w:lang w:val="pt-BR"/>
              </w:rPr>
              <w:t>e</w:t>
            </w:r>
            <w:r w:rsidRPr="005A000A">
              <w:rPr>
                <w:rFonts w:ascii="Avenir Next" w:hAnsi="Avenir Next"/>
                <w:sz w:val="20"/>
                <w:szCs w:val="20"/>
                <w:lang w:val="pt-BR"/>
              </w:rPr>
              <w:t xml:space="preserve"> </w:t>
            </w:r>
            <w:r w:rsidR="00FD6211" w:rsidRPr="005A000A">
              <w:rPr>
                <w:rFonts w:ascii="Avenir Next" w:hAnsi="Avenir Next"/>
                <w:sz w:val="20"/>
                <w:szCs w:val="20"/>
                <w:lang w:val="pt-BR"/>
              </w:rPr>
              <w:t>vis</w:t>
            </w:r>
            <w:r w:rsidR="00FD6211">
              <w:rPr>
                <w:rFonts w:ascii="Avenir Next" w:hAnsi="Avenir Next"/>
                <w:sz w:val="20"/>
                <w:szCs w:val="20"/>
                <w:lang w:val="pt-BR"/>
              </w:rPr>
              <w:t>ão</w:t>
            </w:r>
            <w:r w:rsidRPr="005A000A">
              <w:rPr>
                <w:rFonts w:ascii="Avenir Next" w:hAnsi="Avenir Next"/>
                <w:sz w:val="20"/>
                <w:szCs w:val="20"/>
                <w:lang w:val="pt-BR"/>
              </w:rPr>
              <w:t xml:space="preserve"> </w:t>
            </w:r>
            <w:r w:rsidR="00FD6211">
              <w:rPr>
                <w:rFonts w:ascii="Avenir Next" w:hAnsi="Avenir Next"/>
                <w:sz w:val="20"/>
                <w:szCs w:val="20"/>
                <w:lang w:val="pt-BR"/>
              </w:rPr>
              <w:t>geral</w:t>
            </w:r>
            <w:r w:rsidRPr="005A000A">
              <w:rPr>
                <w:rFonts w:ascii="Avenir Next" w:hAnsi="Avenir Next"/>
                <w:sz w:val="20"/>
                <w:szCs w:val="20"/>
                <w:lang w:val="pt-BR"/>
              </w:rPr>
              <w:t xml:space="preserve"> de REDD+</w:t>
            </w:r>
          </w:p>
        </w:tc>
        <w:tc>
          <w:tcPr>
            <w:tcW w:w="4995" w:type="dxa"/>
          </w:tcPr>
          <w:p w14:paraId="030703EA" w14:textId="77777777" w:rsidR="003D5D3A" w:rsidRPr="005A000A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5293" w:type="dxa"/>
          </w:tcPr>
          <w:p w14:paraId="3F2DE2FA" w14:textId="77777777" w:rsidR="003D5D3A" w:rsidRPr="005A000A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3D5D3A" w:rsidRPr="005A000A" w14:paraId="6EBD87B1" w14:textId="77777777" w:rsidTr="003D5D3A">
        <w:trPr>
          <w:trHeight w:val="435"/>
        </w:trPr>
        <w:tc>
          <w:tcPr>
            <w:tcW w:w="3660" w:type="dxa"/>
            <w:shd w:val="clear" w:color="auto" w:fill="FFF1DA"/>
            <w:vAlign w:val="center"/>
          </w:tcPr>
          <w:p w14:paraId="0CE5E14E" w14:textId="426D2071" w:rsidR="003D5D3A" w:rsidRPr="005A000A" w:rsidRDefault="00FD6211" w:rsidP="003D5D3A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5A000A">
              <w:rPr>
                <w:rFonts w:ascii="Avenir Next" w:hAnsi="Avenir Next"/>
                <w:sz w:val="20"/>
                <w:szCs w:val="20"/>
                <w:lang w:val="pt-BR"/>
              </w:rPr>
              <w:t>Descri</w:t>
            </w:r>
            <w:r>
              <w:rPr>
                <w:rFonts w:ascii="Avenir Next" w:hAnsi="Avenir Next"/>
                <w:sz w:val="20"/>
                <w:szCs w:val="20"/>
                <w:lang w:val="pt-BR"/>
              </w:rPr>
              <w:t>ção</w:t>
            </w:r>
            <w:r w:rsidR="003D5D3A" w:rsidRPr="005A000A">
              <w:rPr>
                <w:rFonts w:ascii="Avenir Next" w:hAnsi="Avenir Next"/>
                <w:sz w:val="20"/>
                <w:szCs w:val="20"/>
                <w:lang w:val="pt-BR"/>
              </w:rPr>
              <w:t xml:space="preserve"> de cada salvaguarda</w:t>
            </w:r>
          </w:p>
        </w:tc>
        <w:tc>
          <w:tcPr>
            <w:tcW w:w="4995" w:type="dxa"/>
          </w:tcPr>
          <w:p w14:paraId="6A013198" w14:textId="77777777" w:rsidR="003D5D3A" w:rsidRPr="005A000A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5293" w:type="dxa"/>
          </w:tcPr>
          <w:p w14:paraId="4AD88044" w14:textId="77777777" w:rsidR="003D5D3A" w:rsidRPr="005A000A" w:rsidRDefault="003D5D3A" w:rsidP="00CE0AF6">
            <w:pPr>
              <w:spacing w:before="40" w:after="40"/>
              <w:rPr>
                <w:rFonts w:ascii="Avenir Next" w:hAnsi="Avenir Next" w:cs="Arial"/>
                <w:sz w:val="20"/>
                <w:szCs w:val="20"/>
                <w:lang w:val="pt-BR"/>
              </w:rPr>
            </w:pPr>
          </w:p>
        </w:tc>
      </w:tr>
      <w:tr w:rsidR="003D5D3A" w:rsidRPr="005A000A" w14:paraId="6ED33F19" w14:textId="77777777" w:rsidTr="003D5D3A">
        <w:trPr>
          <w:trHeight w:val="534"/>
        </w:trPr>
        <w:tc>
          <w:tcPr>
            <w:tcW w:w="3660" w:type="dxa"/>
            <w:shd w:val="clear" w:color="auto" w:fill="FFF1DA"/>
            <w:vAlign w:val="center"/>
          </w:tcPr>
          <w:p w14:paraId="780B8D14" w14:textId="7C755B78" w:rsidR="003D5D3A" w:rsidRPr="005A000A" w:rsidRDefault="003D5D3A" w:rsidP="003D5D3A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5A000A">
              <w:rPr>
                <w:rFonts w:ascii="Avenir Next" w:hAnsi="Avenir Next"/>
                <w:sz w:val="20"/>
                <w:szCs w:val="20"/>
                <w:lang w:val="pt-BR"/>
              </w:rPr>
              <w:t>Conformidad</w:t>
            </w:r>
            <w:r w:rsidR="00FD6211">
              <w:rPr>
                <w:rFonts w:ascii="Avenir Next" w:hAnsi="Avenir Next"/>
                <w:sz w:val="20"/>
                <w:szCs w:val="20"/>
                <w:lang w:val="pt-BR"/>
              </w:rPr>
              <w:t>e</w:t>
            </w:r>
            <w:r w:rsidRPr="005A000A">
              <w:rPr>
                <w:rFonts w:ascii="Avenir Next" w:hAnsi="Avenir Next"/>
                <w:sz w:val="20"/>
                <w:szCs w:val="20"/>
                <w:lang w:val="pt-BR"/>
              </w:rPr>
              <w:t xml:space="preserve"> co</w:t>
            </w:r>
            <w:r w:rsidR="00FD6211">
              <w:rPr>
                <w:rFonts w:ascii="Avenir Next" w:hAnsi="Avenir Next"/>
                <w:sz w:val="20"/>
                <w:szCs w:val="20"/>
                <w:lang w:val="pt-BR"/>
              </w:rPr>
              <w:t>m</w:t>
            </w:r>
            <w:r w:rsidRPr="005A000A">
              <w:rPr>
                <w:rFonts w:ascii="Avenir Next" w:hAnsi="Avenir Next"/>
                <w:sz w:val="20"/>
                <w:szCs w:val="20"/>
                <w:lang w:val="pt-BR"/>
              </w:rPr>
              <w:t xml:space="preserve"> as salvaguardas</w:t>
            </w:r>
          </w:p>
        </w:tc>
        <w:tc>
          <w:tcPr>
            <w:tcW w:w="4995" w:type="dxa"/>
          </w:tcPr>
          <w:p w14:paraId="6E303B2A" w14:textId="77777777" w:rsidR="003D5D3A" w:rsidRPr="005A000A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5293" w:type="dxa"/>
          </w:tcPr>
          <w:p w14:paraId="4B5AA0AF" w14:textId="77777777" w:rsidR="003D5D3A" w:rsidRPr="005A000A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3D5D3A" w:rsidRPr="005A000A" w14:paraId="30B42BCD" w14:textId="77777777" w:rsidTr="003D5D3A">
        <w:trPr>
          <w:trHeight w:val="426"/>
        </w:trPr>
        <w:tc>
          <w:tcPr>
            <w:tcW w:w="3660" w:type="dxa"/>
            <w:shd w:val="clear" w:color="auto" w:fill="FFF1DA"/>
            <w:vAlign w:val="center"/>
          </w:tcPr>
          <w:p w14:paraId="3928A701" w14:textId="5D116C28" w:rsidR="003D5D3A" w:rsidRPr="005A000A" w:rsidRDefault="00FD6211" w:rsidP="003D5D3A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5A000A">
              <w:rPr>
                <w:rFonts w:ascii="Avenir Next" w:hAnsi="Avenir Next"/>
                <w:sz w:val="20"/>
                <w:szCs w:val="20"/>
                <w:lang w:val="pt-BR"/>
              </w:rPr>
              <w:t>Participação</w:t>
            </w:r>
            <w:r w:rsidR="003D5D3A" w:rsidRPr="005A000A">
              <w:rPr>
                <w:rFonts w:ascii="Avenir Next" w:hAnsi="Avenir Next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Avenir Next" w:hAnsi="Avenir Next"/>
                <w:sz w:val="20"/>
                <w:szCs w:val="20"/>
                <w:lang w:val="pt-BR"/>
              </w:rPr>
              <w:t>dos</w:t>
            </w:r>
            <w:r w:rsidR="003D5D3A" w:rsidRPr="005A000A">
              <w:rPr>
                <w:rFonts w:ascii="Avenir Next" w:hAnsi="Avenir Next"/>
                <w:sz w:val="20"/>
                <w:szCs w:val="20"/>
                <w:lang w:val="pt-BR"/>
              </w:rPr>
              <w:t xml:space="preserve"> </w:t>
            </w:r>
            <w:r w:rsidRPr="005A000A">
              <w:rPr>
                <w:rFonts w:ascii="Avenir Next" w:hAnsi="Avenir Next"/>
                <w:sz w:val="20"/>
                <w:szCs w:val="20"/>
                <w:lang w:val="pt-BR"/>
              </w:rPr>
              <w:t>interessados</w:t>
            </w:r>
          </w:p>
        </w:tc>
        <w:tc>
          <w:tcPr>
            <w:tcW w:w="4995" w:type="dxa"/>
          </w:tcPr>
          <w:p w14:paraId="679BB40B" w14:textId="77777777" w:rsidR="003D5D3A" w:rsidRPr="005A000A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5293" w:type="dxa"/>
          </w:tcPr>
          <w:p w14:paraId="5B56EC4D" w14:textId="77777777" w:rsidR="003D5D3A" w:rsidRPr="005A000A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3D5D3A" w:rsidRPr="005A000A" w14:paraId="62B5928C" w14:textId="77777777" w:rsidTr="003D5D3A">
        <w:trPr>
          <w:trHeight w:val="354"/>
        </w:trPr>
        <w:tc>
          <w:tcPr>
            <w:tcW w:w="3660" w:type="dxa"/>
            <w:shd w:val="clear" w:color="auto" w:fill="FFF1DA"/>
            <w:vAlign w:val="center"/>
          </w:tcPr>
          <w:p w14:paraId="0B012B8C" w14:textId="77777777" w:rsidR="003D5D3A" w:rsidRPr="005A000A" w:rsidRDefault="003D5D3A" w:rsidP="003D5D3A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  <w:r w:rsidRPr="005A000A">
              <w:rPr>
                <w:rFonts w:ascii="Avenir Next" w:hAnsi="Avenir Next"/>
                <w:sz w:val="20"/>
                <w:szCs w:val="20"/>
                <w:lang w:val="pt-BR"/>
              </w:rPr>
              <w:t xml:space="preserve">General </w:t>
            </w:r>
          </w:p>
        </w:tc>
        <w:tc>
          <w:tcPr>
            <w:tcW w:w="4995" w:type="dxa"/>
          </w:tcPr>
          <w:p w14:paraId="46F045B1" w14:textId="77777777" w:rsidR="003D5D3A" w:rsidRPr="005A000A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5293" w:type="dxa"/>
          </w:tcPr>
          <w:p w14:paraId="0AAE7B1C" w14:textId="77777777" w:rsidR="003D5D3A" w:rsidRPr="005A000A" w:rsidRDefault="003D5D3A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</w:tbl>
    <w:p w14:paraId="104C00A5" w14:textId="4523182F" w:rsidR="00A355C3" w:rsidRPr="005A000A" w:rsidRDefault="00A355C3" w:rsidP="003D5D3A">
      <w:pPr>
        <w:spacing w:before="120" w:after="120" w:line="336" w:lineRule="auto"/>
        <w:rPr>
          <w:lang w:val="pt-BR"/>
        </w:rPr>
      </w:pPr>
    </w:p>
    <w:sectPr w:rsidR="00A355C3" w:rsidRPr="005A000A" w:rsidSect="00480509">
      <w:pgSz w:w="16845" w:h="11910" w:orient="landscape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03C17" w14:textId="77777777" w:rsidR="00576C98" w:rsidRDefault="00576C98" w:rsidP="003D5D3A">
      <w:r>
        <w:separator/>
      </w:r>
    </w:p>
  </w:endnote>
  <w:endnote w:type="continuationSeparator" w:id="0">
    <w:p w14:paraId="63298EBF" w14:textId="77777777" w:rsidR="00576C98" w:rsidRDefault="00576C98" w:rsidP="003D5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2BD0417-A3CE-4346-87F7-17BB33A7F5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3692A80-8386-C54F-9D69-E5453D0BDF0D}"/>
    <w:embedBold r:id="rId3" w:fontKey="{A41083BD-7B56-F64E-BDB8-9EF23DA886B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B5EB8FAF-16AA-7848-B6B4-A7ABB724F29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138BD53D-049C-924F-AF0E-AE05FCDE304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A21976C1-C18E-2E47-8185-7499732DDB0B}"/>
    <w:embedBold r:id="rId7" w:fontKey="{C16AB549-9FD2-4D4C-9CF5-46AE8FC2D7F2}"/>
  </w:font>
  <w:font w:name="Bodoni 72 Book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8" w:fontKey="{3CEFF39A-6FD4-824F-A0FC-2AFDF3F9C0E6}"/>
  </w:font>
  <w:font w:name="Prata">
    <w:altName w:val="Calibri"/>
    <w:panose1 w:val="020B0604020202020204"/>
    <w:charset w:val="00"/>
    <w:family w:val="auto"/>
    <w:pitch w:val="default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10" w:fontKey="{5B4DD9F1-9CE4-9146-ACB2-F3ECA318D2F2}"/>
    <w:embedBold r:id="rId11" w:fontKey="{CF6FD5F9-AB69-E247-8E19-4AF5C811D4B4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2" w:fontKey="{7601329B-CCCD-0444-9C15-F7954BF01690}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13" w:fontKey="{B3FD9AFA-D2E0-A64D-B087-C721F17D1EBE}"/>
    <w:embedBold r:id="rId14" w:fontKey="{3022C36E-F8F8-394A-AE34-71152D42095D}"/>
  </w:font>
  <w:font w:name="Avenir Next Ultra Light">
    <w:panose1 w:val="020B0203020202020204"/>
    <w:charset w:val="4D"/>
    <w:family w:val="swiss"/>
    <w:pitch w:val="variable"/>
    <w:sig w:usb0="800000AF" w:usb1="5000204A" w:usb2="00000000" w:usb3="00000000" w:csb0="0000009B" w:csb1="00000000"/>
    <w:embedBold r:id="rId15" w:fontKey="{0D24203D-FD3C-2B43-BE52-1A82AF83EA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DD33FB35-1668-7047-896A-F7463BA9279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A66A7A7F-31D7-C343-B13A-7BC025D09E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EA411" w14:textId="77777777" w:rsidR="00576C98" w:rsidRDefault="00576C98" w:rsidP="003D5D3A">
      <w:r>
        <w:separator/>
      </w:r>
    </w:p>
  </w:footnote>
  <w:footnote w:type="continuationSeparator" w:id="0">
    <w:p w14:paraId="185B69BB" w14:textId="77777777" w:rsidR="00576C98" w:rsidRDefault="00576C98" w:rsidP="003D5D3A">
      <w:r>
        <w:continuationSeparator/>
      </w:r>
    </w:p>
  </w:footnote>
  <w:footnote w:id="1">
    <w:p w14:paraId="6E913F36" w14:textId="0FA7AB8C" w:rsidR="003D5D3A" w:rsidRPr="00FD6211" w:rsidRDefault="003D5D3A">
      <w:pPr>
        <w:pStyle w:val="FootnoteText"/>
        <w:rPr>
          <w:rFonts w:ascii="Avenir Next" w:hAnsi="Avenir Next"/>
          <w:sz w:val="14"/>
          <w:szCs w:val="14"/>
          <w:lang w:val="pt-BR"/>
        </w:rPr>
      </w:pPr>
      <w:r w:rsidRPr="00FD6211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FD6211">
        <w:rPr>
          <w:rFonts w:ascii="Avenir Next" w:hAnsi="Avenir Next"/>
          <w:sz w:val="14"/>
          <w:szCs w:val="14"/>
          <w:lang w:val="pt-BR"/>
        </w:rPr>
        <w:t xml:space="preserve"> </w:t>
      </w:r>
      <w:r w:rsidR="00FD6211" w:rsidRPr="00FD6211">
        <w:rPr>
          <w:rFonts w:ascii="Avenir Next" w:hAnsi="Avenir Next"/>
          <w:color w:val="000000"/>
          <w:sz w:val="14"/>
          <w:szCs w:val="14"/>
          <w:lang w:val="pt-BR"/>
        </w:rPr>
        <w:t xml:space="preserve">Decisão 9/CP da CQNUMC, parágrafo 4; Decisão 2/CP.17, parágrafos 63 e 64; Decisão 12/CP.17, parágrafos 3 e </w:t>
      </w:r>
      <w:proofErr w:type="gramStart"/>
      <w:r w:rsidR="00FD6211" w:rsidRPr="00FD6211">
        <w:rPr>
          <w:rFonts w:ascii="Avenir Next" w:hAnsi="Avenir Next"/>
          <w:color w:val="000000"/>
          <w:sz w:val="14"/>
          <w:szCs w:val="14"/>
          <w:lang w:val="pt-BR"/>
        </w:rPr>
        <w:t>4.</w:t>
      </w:r>
      <w:r w:rsidRPr="00FD6211">
        <w:rPr>
          <w:rFonts w:ascii="Avenir Next" w:hAnsi="Avenir Next"/>
          <w:sz w:val="14"/>
          <w:szCs w:val="14"/>
          <w:lang w:val="pt-BR"/>
        </w:rPr>
        <w:t>.</w:t>
      </w:r>
      <w:proofErr w:type="gramEnd"/>
    </w:p>
  </w:footnote>
  <w:footnote w:id="2">
    <w:p w14:paraId="3BF9971D" w14:textId="3F28FEF0" w:rsidR="003D5D3A" w:rsidRPr="006C4611" w:rsidRDefault="003D5D3A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FD6211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FD6211">
        <w:rPr>
          <w:rFonts w:ascii="Avenir Next" w:hAnsi="Avenir Next"/>
          <w:sz w:val="14"/>
          <w:szCs w:val="14"/>
          <w:lang w:val="pt-BR"/>
        </w:rPr>
        <w:t xml:space="preserve"> </w:t>
      </w:r>
      <w:r w:rsidR="00FD6211" w:rsidRPr="00FD6211">
        <w:rPr>
          <w:rFonts w:ascii="Avenir Next" w:hAnsi="Avenir Next"/>
          <w:color w:val="000000"/>
          <w:sz w:val="14"/>
          <w:szCs w:val="14"/>
          <w:lang w:val="pt-BR"/>
        </w:rPr>
        <w:t>Decisão 17/CP.2 da CQNUMC, requer a participação plena e efetiva das partes interessadas pertinentes, entre outros, os povos indígenas e as comunidades locais; ao desenvolver e implementar estratégias ou planos de ação nacionais, para abordar, entre outras coisas, as causas do desmatamento e da degradação florestal, as questões de posse da terra, as questões de governança florestal, as considerações de gênero e as salvaguardas da CQNUM</w:t>
      </w:r>
    </w:p>
  </w:footnote>
  <w:footnote w:id="3">
    <w:p w14:paraId="00D1DF3E" w14:textId="5E50DED5" w:rsidR="00ED4C59" w:rsidRPr="00FD6211" w:rsidRDefault="00ED4C59" w:rsidP="00FD6211">
      <w:pPr>
        <w:rPr>
          <w:rFonts w:ascii="Avenir Next" w:eastAsia="Times New Roman" w:hAnsi="Avenir Next" w:cs="Times New Roman"/>
          <w:kern w:val="0"/>
          <w:sz w:val="14"/>
          <w:szCs w:val="14"/>
          <w:lang w:val="pt-BR"/>
          <w14:ligatures w14:val="none"/>
        </w:rPr>
      </w:pPr>
      <w:r w:rsidRPr="00FD6211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FD6211">
        <w:rPr>
          <w:rFonts w:ascii="Avenir Next" w:hAnsi="Avenir Next"/>
          <w:sz w:val="14"/>
          <w:szCs w:val="14"/>
          <w:lang w:val="pt-BR"/>
        </w:rPr>
        <w:t xml:space="preserve"> </w:t>
      </w:r>
      <w:r w:rsidR="00FD6211" w:rsidRPr="00FD6211">
        <w:rPr>
          <w:rFonts w:ascii="Avenir Next" w:eastAsia="Times New Roman" w:hAnsi="Avenir Next" w:cs="Times New Roman"/>
          <w:color w:val="000000"/>
          <w:kern w:val="0"/>
          <w:sz w:val="14"/>
          <w:szCs w:val="14"/>
          <w:lang w:val="pt-BR"/>
          <w14:ligatures w14:val="none"/>
        </w:rPr>
        <w:t>Decisão 12/CP.17 da CQNUMC</w:t>
      </w:r>
    </w:p>
  </w:footnote>
  <w:footnote w:id="4">
    <w:p w14:paraId="228603C3" w14:textId="7686702F" w:rsidR="003D5D3A" w:rsidRPr="00FD6211" w:rsidRDefault="003D5D3A">
      <w:pPr>
        <w:pStyle w:val="FootnoteText"/>
        <w:rPr>
          <w:rFonts w:ascii="Avenir Next" w:hAnsi="Avenir Next"/>
          <w:sz w:val="14"/>
          <w:szCs w:val="14"/>
          <w:lang w:val="pt-BR"/>
        </w:rPr>
      </w:pPr>
      <w:r w:rsidRPr="00FD6211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FD6211">
        <w:rPr>
          <w:rFonts w:ascii="Avenir Next" w:hAnsi="Avenir Next"/>
          <w:sz w:val="14"/>
          <w:szCs w:val="14"/>
          <w:lang w:val="pt-BR"/>
        </w:rPr>
        <w:t xml:space="preserve"> FCCC/SBSTA/2013/3/Add.1</w:t>
      </w:r>
    </w:p>
  </w:footnote>
  <w:footnote w:id="5">
    <w:p w14:paraId="5A344BE3" w14:textId="586CFF61" w:rsidR="003D5D3A" w:rsidRPr="00FD6211" w:rsidRDefault="003D5D3A">
      <w:pPr>
        <w:pStyle w:val="FootnoteText"/>
        <w:rPr>
          <w:rFonts w:ascii="Avenir Next" w:hAnsi="Avenir Next"/>
          <w:sz w:val="14"/>
          <w:szCs w:val="14"/>
          <w:lang w:val="pt-BR"/>
        </w:rPr>
      </w:pPr>
      <w:r w:rsidRPr="00FD6211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FD6211">
        <w:rPr>
          <w:rFonts w:ascii="Avenir Next" w:hAnsi="Avenir Next"/>
          <w:sz w:val="14"/>
          <w:szCs w:val="14"/>
          <w:lang w:val="pt-BR"/>
        </w:rPr>
        <w:t xml:space="preserve"> </w:t>
      </w:r>
      <w:proofErr w:type="spellStart"/>
      <w:r w:rsidRPr="00FD6211">
        <w:rPr>
          <w:rFonts w:ascii="Avenir Next" w:hAnsi="Avenir Next"/>
          <w:sz w:val="14"/>
          <w:szCs w:val="14"/>
          <w:lang w:val="pt-BR"/>
        </w:rPr>
        <w:t>Braña</w:t>
      </w:r>
      <w:proofErr w:type="spellEnd"/>
      <w:r w:rsidRPr="00FD6211">
        <w:rPr>
          <w:rFonts w:ascii="Avenir Next" w:hAnsi="Avenir Next"/>
          <w:sz w:val="14"/>
          <w:szCs w:val="14"/>
          <w:lang w:val="pt-BR"/>
        </w:rPr>
        <w:t xml:space="preserve"> Varela, J., Lee, D., Rey </w:t>
      </w:r>
      <w:proofErr w:type="spellStart"/>
      <w:r w:rsidRPr="00FD6211">
        <w:rPr>
          <w:rFonts w:ascii="Avenir Next" w:hAnsi="Avenir Next"/>
          <w:sz w:val="14"/>
          <w:szCs w:val="14"/>
          <w:lang w:val="pt-BR"/>
        </w:rPr>
        <w:t>Christen</w:t>
      </w:r>
      <w:proofErr w:type="spellEnd"/>
      <w:r w:rsidRPr="00FD6211">
        <w:rPr>
          <w:rFonts w:ascii="Avenir Next" w:hAnsi="Avenir Next"/>
          <w:sz w:val="14"/>
          <w:szCs w:val="14"/>
          <w:lang w:val="pt-BR"/>
        </w:rPr>
        <w:t>, D. y Swan, S. 2014. “</w:t>
      </w:r>
      <w:r w:rsidR="00FD6211" w:rsidRPr="00FD6211">
        <w:rPr>
          <w:rFonts w:ascii="Avenir Next" w:hAnsi="Avenir Next"/>
          <w:sz w:val="14"/>
          <w:szCs w:val="14"/>
          <w:lang w:val="pt-BR"/>
        </w:rPr>
        <w:t>s</w:t>
      </w:r>
      <w:r w:rsidR="00FD6211" w:rsidRPr="00FD6211">
        <w:rPr>
          <w:rFonts w:ascii="Avenir Next" w:hAnsi="Avenir Next"/>
          <w:color w:val="000000"/>
          <w:sz w:val="14"/>
          <w:szCs w:val="14"/>
          <w:lang w:val="pt-BR"/>
        </w:rPr>
        <w:t>alvaguardas REDD+: considerações práticas para desenvolver um sumário de informações”. Preparado com o apoio da Iniciativa Internacional sobre Clima e Florestas do Governo da Noruega. Disponível em</w:t>
      </w:r>
      <w:r w:rsidR="00FD6211" w:rsidRPr="00FD6211">
        <w:rPr>
          <w:rStyle w:val="apple-converted-space"/>
          <w:rFonts w:ascii="Avenir Next" w:hAnsi="Avenir Next"/>
          <w:color w:val="000000"/>
          <w:sz w:val="14"/>
          <w:szCs w:val="14"/>
          <w:lang w:val="pt-BR"/>
        </w:rPr>
        <w:t> “</w:t>
      </w:r>
    </w:p>
  </w:footnote>
  <w:footnote w:id="6">
    <w:p w14:paraId="3F609331" w14:textId="683846D6" w:rsidR="003D5D3A" w:rsidRPr="003D5D3A" w:rsidRDefault="003D5D3A">
      <w:pPr>
        <w:pStyle w:val="FootnoteText"/>
        <w:rPr>
          <w:lang w:val="en-GB"/>
        </w:rPr>
      </w:pPr>
      <w:r w:rsidRPr="00FD6211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FD6211">
        <w:rPr>
          <w:rFonts w:ascii="Avenir Next" w:hAnsi="Avenir Next"/>
          <w:sz w:val="14"/>
          <w:szCs w:val="14"/>
          <w:lang w:val="pt-BR"/>
        </w:rPr>
        <w:t xml:space="preserve"> </w:t>
      </w:r>
      <w:proofErr w:type="spellStart"/>
      <w:r w:rsidR="00FD6211" w:rsidRPr="00FD6211">
        <w:rPr>
          <w:rFonts w:ascii="Avenir Next" w:hAnsi="Avenir Next"/>
          <w:color w:val="000000"/>
          <w:sz w:val="14"/>
          <w:szCs w:val="14"/>
          <w:lang w:val="pt-BR"/>
        </w:rPr>
        <w:t>esumo</w:t>
      </w:r>
      <w:proofErr w:type="spellEnd"/>
      <w:r w:rsidR="00FD6211" w:rsidRPr="00FD6211">
        <w:rPr>
          <w:rFonts w:ascii="Avenir Next" w:hAnsi="Avenir Next"/>
          <w:color w:val="000000"/>
          <w:sz w:val="14"/>
          <w:szCs w:val="14"/>
          <w:lang w:val="pt-BR"/>
        </w:rPr>
        <w:t xml:space="preserve"> informativo do programa ONU-REDD, Sumários de informações: experiências iniciais e recomendações sobre relatórios internacionais de salvaguardas de REDD+. Disponível em</w:t>
      </w:r>
      <w:proofErr w:type="gramStart"/>
      <w:r w:rsidR="00FD6211" w:rsidRPr="00FD6211">
        <w:rPr>
          <w:rFonts w:ascii="Avenir Next" w:hAnsi="Avenir Next"/>
          <w:color w:val="000000"/>
          <w:sz w:val="14"/>
          <w:szCs w:val="14"/>
          <w:lang w:val="pt-BR"/>
        </w:rPr>
        <w:t>:</w:t>
      </w:r>
      <w:r w:rsidR="00FD6211" w:rsidRPr="00FD6211">
        <w:rPr>
          <w:rStyle w:val="apple-converted-space"/>
          <w:rFonts w:ascii="Avenir Next" w:hAnsi="Avenir Next"/>
          <w:color w:val="000000"/>
          <w:sz w:val="14"/>
          <w:szCs w:val="14"/>
          <w:lang w:val="pt-BR"/>
        </w:rPr>
        <w:t> </w:t>
      </w:r>
      <w:r w:rsidRPr="00FD6211">
        <w:rPr>
          <w:rFonts w:ascii="Avenir Next" w:hAnsi="Avenir Next"/>
          <w:sz w:val="14"/>
          <w:szCs w:val="14"/>
          <w:lang w:val="pt-BR"/>
        </w:rPr>
        <w:t>:</w:t>
      </w:r>
      <w:proofErr w:type="gramEnd"/>
      <w:r w:rsidRPr="00FD6211">
        <w:rPr>
          <w:rFonts w:ascii="Avenir Next" w:hAnsi="Avenir Next"/>
          <w:sz w:val="14"/>
          <w:szCs w:val="14"/>
          <w:lang w:val="pt-BR"/>
        </w:rPr>
        <w:t xml:space="preserve"> </w:t>
      </w:r>
      <w:hyperlink r:id="rId1" w:history="1">
        <w:r w:rsidRPr="00FD6211">
          <w:rPr>
            <w:rStyle w:val="Hyperlink"/>
            <w:rFonts w:ascii="Avenir Next" w:hAnsi="Avenir Next"/>
            <w:sz w:val="14"/>
            <w:szCs w:val="14"/>
            <w:lang w:val="pt-BR"/>
          </w:rPr>
          <w:t>https://www.un-redd.org/sites/default/files/2021-10/InfoBrief__Summaries_of_information_30Sep%20%28735777%29.pdf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F7D2B"/>
    <w:multiLevelType w:val="hybridMultilevel"/>
    <w:tmpl w:val="80A2356C"/>
    <w:lvl w:ilvl="0" w:tplc="BD389820">
      <w:start w:val="1"/>
      <w:numFmt w:val="decimal"/>
      <w:lvlText w:val="%1."/>
      <w:lvlJc w:val="left"/>
      <w:pPr>
        <w:ind w:left="400" w:hanging="360"/>
      </w:pPr>
    </w:lvl>
    <w:lvl w:ilvl="1" w:tplc="A48E7CD0">
      <w:start w:val="1"/>
      <w:numFmt w:val="lowerLetter"/>
      <w:lvlText w:val="%2."/>
      <w:lvlJc w:val="left"/>
      <w:pPr>
        <w:ind w:left="800" w:hanging="360"/>
      </w:pPr>
    </w:lvl>
    <w:lvl w:ilvl="2" w:tplc="AC6AFC6E">
      <w:start w:val="1"/>
      <w:numFmt w:val="lowerRoman"/>
      <w:lvlText w:val="%3."/>
      <w:lvlJc w:val="right"/>
      <w:pPr>
        <w:ind w:left="1200" w:hanging="180"/>
      </w:pPr>
    </w:lvl>
    <w:lvl w:ilvl="3" w:tplc="C114D200">
      <w:start w:val="1"/>
      <w:numFmt w:val="decimal"/>
      <w:lvlText w:val="%4."/>
      <w:lvlJc w:val="left"/>
      <w:pPr>
        <w:ind w:left="1600" w:hanging="360"/>
      </w:pPr>
    </w:lvl>
    <w:lvl w:ilvl="4" w:tplc="DA407260">
      <w:start w:val="1"/>
      <w:numFmt w:val="lowerLetter"/>
      <w:lvlText w:val="%5."/>
      <w:lvlJc w:val="left"/>
      <w:pPr>
        <w:ind w:left="2000" w:hanging="360"/>
      </w:pPr>
    </w:lvl>
    <w:lvl w:ilvl="5" w:tplc="4748F16C">
      <w:start w:val="1"/>
      <w:numFmt w:val="lowerRoman"/>
      <w:lvlText w:val="%6."/>
      <w:lvlJc w:val="right"/>
      <w:pPr>
        <w:ind w:left="2400" w:hanging="180"/>
      </w:pPr>
    </w:lvl>
    <w:lvl w:ilvl="6" w:tplc="48D0B444">
      <w:start w:val="1"/>
      <w:numFmt w:val="decimal"/>
      <w:lvlText w:val="%7."/>
      <w:lvlJc w:val="left"/>
      <w:pPr>
        <w:ind w:left="2800" w:hanging="360"/>
      </w:pPr>
    </w:lvl>
    <w:lvl w:ilvl="7" w:tplc="2028151A">
      <w:start w:val="1"/>
      <w:numFmt w:val="lowerLetter"/>
      <w:lvlText w:val="%8."/>
      <w:lvlJc w:val="left"/>
      <w:pPr>
        <w:ind w:left="3200" w:hanging="360"/>
      </w:pPr>
    </w:lvl>
    <w:lvl w:ilvl="8" w:tplc="D2B275BC">
      <w:numFmt w:val="decimal"/>
      <w:lvlText w:val=""/>
      <w:lvlJc w:val="left"/>
    </w:lvl>
  </w:abstractNum>
  <w:abstractNum w:abstractNumId="1" w15:restartNumberingAfterBreak="0">
    <w:nsid w:val="0C154303"/>
    <w:multiLevelType w:val="hybridMultilevel"/>
    <w:tmpl w:val="0A4C7A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A2698"/>
    <w:multiLevelType w:val="hybridMultilevel"/>
    <w:tmpl w:val="A4725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63124"/>
    <w:multiLevelType w:val="hybridMultilevel"/>
    <w:tmpl w:val="4D2AA730"/>
    <w:lvl w:ilvl="0" w:tplc="680CFE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73AE5"/>
    <w:multiLevelType w:val="hybridMultilevel"/>
    <w:tmpl w:val="6AA83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E6A88"/>
    <w:multiLevelType w:val="hybridMultilevel"/>
    <w:tmpl w:val="7DE89096"/>
    <w:lvl w:ilvl="0" w:tplc="65443D5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C9813B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1D60D1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EDEA3B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A2A05A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184467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D329FD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91585F1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51E65E6">
      <w:numFmt w:val="decimal"/>
      <w:lvlText w:val=""/>
      <w:lvlJc w:val="left"/>
    </w:lvl>
  </w:abstractNum>
  <w:abstractNum w:abstractNumId="6" w15:restartNumberingAfterBreak="0">
    <w:nsid w:val="1D395D85"/>
    <w:multiLevelType w:val="hybridMultilevel"/>
    <w:tmpl w:val="27B825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B961A3"/>
    <w:multiLevelType w:val="hybridMultilevel"/>
    <w:tmpl w:val="FAB46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8E7A29"/>
    <w:multiLevelType w:val="hybridMultilevel"/>
    <w:tmpl w:val="A4A01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00159"/>
    <w:multiLevelType w:val="hybridMultilevel"/>
    <w:tmpl w:val="9ECC9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171030"/>
    <w:multiLevelType w:val="hybridMultilevel"/>
    <w:tmpl w:val="6B0E601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EC1FAF"/>
    <w:multiLevelType w:val="hybridMultilevel"/>
    <w:tmpl w:val="4796DC4C"/>
    <w:lvl w:ilvl="0" w:tplc="E2B0FEC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684431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1662FF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7BF49F4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935A584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5ECAE0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1E43A4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690375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B4617F4">
      <w:numFmt w:val="decimal"/>
      <w:lvlText w:val=""/>
      <w:lvlJc w:val="left"/>
    </w:lvl>
  </w:abstractNum>
  <w:abstractNum w:abstractNumId="12" w15:restartNumberingAfterBreak="0">
    <w:nsid w:val="46F02F3C"/>
    <w:multiLevelType w:val="hybridMultilevel"/>
    <w:tmpl w:val="8796054E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 w15:restartNumberingAfterBreak="0">
    <w:nsid w:val="5198715C"/>
    <w:multiLevelType w:val="hybridMultilevel"/>
    <w:tmpl w:val="4880C1B2"/>
    <w:lvl w:ilvl="0" w:tplc="6F6E50C2">
      <w:start w:val="1"/>
      <w:numFmt w:val="decimal"/>
      <w:lvlText w:val="%1."/>
      <w:lvlJc w:val="left"/>
      <w:pPr>
        <w:ind w:left="400" w:hanging="360"/>
      </w:pPr>
    </w:lvl>
    <w:lvl w:ilvl="1" w:tplc="893653F0">
      <w:start w:val="1"/>
      <w:numFmt w:val="lowerLetter"/>
      <w:lvlText w:val="%2."/>
      <w:lvlJc w:val="left"/>
      <w:pPr>
        <w:ind w:left="800" w:hanging="360"/>
      </w:pPr>
    </w:lvl>
    <w:lvl w:ilvl="2" w:tplc="9D286CCA">
      <w:start w:val="1"/>
      <w:numFmt w:val="lowerRoman"/>
      <w:lvlText w:val="%3."/>
      <w:lvlJc w:val="right"/>
      <w:pPr>
        <w:ind w:left="1200" w:hanging="180"/>
      </w:pPr>
    </w:lvl>
    <w:lvl w:ilvl="3" w:tplc="0978A962">
      <w:start w:val="1"/>
      <w:numFmt w:val="decimal"/>
      <w:lvlText w:val="%4."/>
      <w:lvlJc w:val="left"/>
      <w:pPr>
        <w:ind w:left="1600" w:hanging="360"/>
      </w:pPr>
    </w:lvl>
    <w:lvl w:ilvl="4" w:tplc="BDFAC9EA">
      <w:start w:val="1"/>
      <w:numFmt w:val="lowerLetter"/>
      <w:lvlText w:val="%5."/>
      <w:lvlJc w:val="left"/>
      <w:pPr>
        <w:ind w:left="2000" w:hanging="360"/>
      </w:pPr>
    </w:lvl>
    <w:lvl w:ilvl="5" w:tplc="B130003A">
      <w:start w:val="1"/>
      <w:numFmt w:val="lowerRoman"/>
      <w:lvlText w:val="%6."/>
      <w:lvlJc w:val="right"/>
      <w:pPr>
        <w:ind w:left="2400" w:hanging="180"/>
      </w:pPr>
    </w:lvl>
    <w:lvl w:ilvl="6" w:tplc="EF70307A">
      <w:start w:val="1"/>
      <w:numFmt w:val="decimal"/>
      <w:lvlText w:val="%7."/>
      <w:lvlJc w:val="left"/>
      <w:pPr>
        <w:ind w:left="2800" w:hanging="360"/>
      </w:pPr>
    </w:lvl>
    <w:lvl w:ilvl="7" w:tplc="01F8C9E8">
      <w:start w:val="1"/>
      <w:numFmt w:val="lowerLetter"/>
      <w:lvlText w:val="%8."/>
      <w:lvlJc w:val="left"/>
      <w:pPr>
        <w:ind w:left="3200" w:hanging="360"/>
      </w:pPr>
    </w:lvl>
    <w:lvl w:ilvl="8" w:tplc="7CEE36EA">
      <w:numFmt w:val="decimal"/>
      <w:lvlText w:val=""/>
      <w:lvlJc w:val="left"/>
    </w:lvl>
  </w:abstractNum>
  <w:abstractNum w:abstractNumId="14" w15:restartNumberingAfterBreak="0">
    <w:nsid w:val="5BDE17A2"/>
    <w:multiLevelType w:val="hybridMultilevel"/>
    <w:tmpl w:val="CB2CDFBE"/>
    <w:lvl w:ilvl="0" w:tplc="095EAD9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57CBA8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3C2CEE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CE8B61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D08626E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81696B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B12797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BBEE47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4F495E6">
      <w:numFmt w:val="decimal"/>
      <w:lvlText w:val=""/>
      <w:lvlJc w:val="left"/>
    </w:lvl>
  </w:abstractNum>
  <w:abstractNum w:abstractNumId="15" w15:restartNumberingAfterBreak="0">
    <w:nsid w:val="5D1651CE"/>
    <w:multiLevelType w:val="hybridMultilevel"/>
    <w:tmpl w:val="1ED07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4972A5"/>
    <w:multiLevelType w:val="hybridMultilevel"/>
    <w:tmpl w:val="CD827494"/>
    <w:lvl w:ilvl="0" w:tplc="E0F226B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E06A15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8AA5FF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7FFEB7E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808640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B60A3A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50A685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C3222E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CA8BD00">
      <w:numFmt w:val="decimal"/>
      <w:lvlText w:val=""/>
      <w:lvlJc w:val="left"/>
    </w:lvl>
  </w:abstractNum>
  <w:abstractNum w:abstractNumId="17" w15:restartNumberingAfterBreak="0">
    <w:nsid w:val="64E163D5"/>
    <w:multiLevelType w:val="hybridMultilevel"/>
    <w:tmpl w:val="5C280400"/>
    <w:lvl w:ilvl="0" w:tplc="CD24920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9210024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2FCA31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DC444A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DCF6556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B82238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2BEFA7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0DCF58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8724148">
      <w:numFmt w:val="decimal"/>
      <w:lvlText w:val=""/>
      <w:lvlJc w:val="left"/>
    </w:lvl>
  </w:abstractNum>
  <w:abstractNum w:abstractNumId="18" w15:restartNumberingAfterBreak="0">
    <w:nsid w:val="680D114F"/>
    <w:multiLevelType w:val="hybridMultilevel"/>
    <w:tmpl w:val="759671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B51550"/>
    <w:multiLevelType w:val="hybridMultilevel"/>
    <w:tmpl w:val="A056A38C"/>
    <w:lvl w:ilvl="0" w:tplc="99C6D21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B86FBD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A1A0CA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C2CC96B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132CD0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ECA6E0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560D61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B60CAC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9869E8A">
      <w:numFmt w:val="decimal"/>
      <w:lvlText w:val=""/>
      <w:lvlJc w:val="left"/>
    </w:lvl>
  </w:abstractNum>
  <w:abstractNum w:abstractNumId="20" w15:restartNumberingAfterBreak="0">
    <w:nsid w:val="714E1933"/>
    <w:multiLevelType w:val="hybridMultilevel"/>
    <w:tmpl w:val="1C74F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9557A3"/>
    <w:multiLevelType w:val="hybridMultilevel"/>
    <w:tmpl w:val="B060BE9E"/>
    <w:lvl w:ilvl="0" w:tplc="65E6989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AF0FF3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590779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1B410B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EB890B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E1A4CC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236417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110DDC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29C6F80">
      <w:numFmt w:val="decimal"/>
      <w:lvlText w:val=""/>
      <w:lvlJc w:val="left"/>
    </w:lvl>
  </w:abstractNum>
  <w:abstractNum w:abstractNumId="22" w15:restartNumberingAfterBreak="0">
    <w:nsid w:val="7919185D"/>
    <w:multiLevelType w:val="hybridMultilevel"/>
    <w:tmpl w:val="B6543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341501"/>
    <w:multiLevelType w:val="hybridMultilevel"/>
    <w:tmpl w:val="E052696A"/>
    <w:lvl w:ilvl="0" w:tplc="6354E5A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3629AA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F7A82A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2D0789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9E40A17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DF44CA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79841D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05C2D4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91A8320">
      <w:numFmt w:val="decimal"/>
      <w:lvlText w:val=""/>
      <w:lvlJc w:val="left"/>
    </w:lvl>
  </w:abstractNum>
  <w:num w:numId="1" w16cid:durableId="1921983120">
    <w:abstractNumId w:val="5"/>
  </w:num>
  <w:num w:numId="2" w16cid:durableId="875047159">
    <w:abstractNumId w:val="13"/>
  </w:num>
  <w:num w:numId="3" w16cid:durableId="88355190">
    <w:abstractNumId w:val="16"/>
  </w:num>
  <w:num w:numId="4" w16cid:durableId="948076399">
    <w:abstractNumId w:val="0"/>
  </w:num>
  <w:num w:numId="5" w16cid:durableId="1046416997">
    <w:abstractNumId w:val="14"/>
  </w:num>
  <w:num w:numId="6" w16cid:durableId="1503548435">
    <w:abstractNumId w:val="19"/>
  </w:num>
  <w:num w:numId="7" w16cid:durableId="1046372321">
    <w:abstractNumId w:val="23"/>
  </w:num>
  <w:num w:numId="8" w16cid:durableId="1254628151">
    <w:abstractNumId w:val="21"/>
  </w:num>
  <w:num w:numId="9" w16cid:durableId="455299966">
    <w:abstractNumId w:val="17"/>
  </w:num>
  <w:num w:numId="10" w16cid:durableId="524174023">
    <w:abstractNumId w:val="11"/>
  </w:num>
  <w:num w:numId="11" w16cid:durableId="895362182">
    <w:abstractNumId w:val="20"/>
  </w:num>
  <w:num w:numId="12" w16cid:durableId="1363097280">
    <w:abstractNumId w:val="6"/>
  </w:num>
  <w:num w:numId="13" w16cid:durableId="900022648">
    <w:abstractNumId w:val="18"/>
  </w:num>
  <w:num w:numId="14" w16cid:durableId="2099484">
    <w:abstractNumId w:val="7"/>
  </w:num>
  <w:num w:numId="15" w16cid:durableId="37776802">
    <w:abstractNumId w:val="8"/>
  </w:num>
  <w:num w:numId="16" w16cid:durableId="1895308963">
    <w:abstractNumId w:val="1"/>
  </w:num>
  <w:num w:numId="17" w16cid:durableId="1223102427">
    <w:abstractNumId w:val="3"/>
  </w:num>
  <w:num w:numId="18" w16cid:durableId="70279356">
    <w:abstractNumId w:val="12"/>
  </w:num>
  <w:num w:numId="19" w16cid:durableId="282536302">
    <w:abstractNumId w:val="4"/>
  </w:num>
  <w:num w:numId="20" w16cid:durableId="1463235307">
    <w:abstractNumId w:val="10"/>
  </w:num>
  <w:num w:numId="21" w16cid:durableId="2042238770">
    <w:abstractNumId w:val="2"/>
  </w:num>
  <w:num w:numId="22" w16cid:durableId="1067922974">
    <w:abstractNumId w:val="15"/>
  </w:num>
  <w:num w:numId="23" w16cid:durableId="371803933">
    <w:abstractNumId w:val="22"/>
  </w:num>
  <w:num w:numId="24" w16cid:durableId="103045366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55C3"/>
    <w:rsid w:val="000A4FEA"/>
    <w:rsid w:val="003D5D3A"/>
    <w:rsid w:val="00480509"/>
    <w:rsid w:val="005046C7"/>
    <w:rsid w:val="00576C98"/>
    <w:rsid w:val="005A000A"/>
    <w:rsid w:val="006250E2"/>
    <w:rsid w:val="006C4611"/>
    <w:rsid w:val="00761987"/>
    <w:rsid w:val="008A5C44"/>
    <w:rsid w:val="008B1EBA"/>
    <w:rsid w:val="00977B8B"/>
    <w:rsid w:val="00A355C3"/>
    <w:rsid w:val="00B00B21"/>
    <w:rsid w:val="00CC7CEE"/>
    <w:rsid w:val="00CF1393"/>
    <w:rsid w:val="00ED4C59"/>
    <w:rsid w:val="00EF791E"/>
    <w:rsid w:val="00FD6211"/>
    <w:rsid w:val="00FE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3CDDBC"/>
  <w15:docId w15:val="{5493313D-FF8E-9A4C-8629-8155C7FD8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3D5D3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D5D3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D5D3A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3D5D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5D3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D5D3A"/>
    <w:rPr>
      <w:rFonts w:eastAsiaTheme="minorHAns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rsid w:val="003D5D3A"/>
  </w:style>
  <w:style w:type="character" w:customStyle="1" w:styleId="apple-converted-space">
    <w:name w:val="apple-converted-space"/>
    <w:basedOn w:val="DefaultParagraphFont"/>
    <w:rsid w:val="00FD62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n-redd.org/sites/default/files/2021-10/InfoBrief__Summaries_of_information_30Sep%20%28735777%29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8</Pages>
  <Words>1365</Words>
  <Characters>7783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Bruna Oliveira</cp:lastModifiedBy>
  <cp:revision>13</cp:revision>
  <dcterms:created xsi:type="dcterms:W3CDTF">2024-06-02T15:22:00Z</dcterms:created>
  <dcterms:modified xsi:type="dcterms:W3CDTF">2024-06-28T10:56:00Z</dcterms:modified>
</cp:coreProperties>
</file>