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43718" w14:textId="77777777" w:rsidR="006169C8" w:rsidRDefault="00000000">
      <w:pPr>
        <w:spacing w:before="120" w:after="120"/>
        <w:jc w:val="center"/>
      </w:pPr>
      <w:r>
        <w:rPr>
          <w:noProof/>
        </w:rPr>
        <w:drawing>
          <wp:anchor distT="0" distB="0" distL="114300" distR="114300" simplePos="0" relativeHeight="251658240" behindDoc="0" locked="0" layoutInCell="1" allowOverlap="1" wp14:anchorId="7229B29E" wp14:editId="44B65C06">
            <wp:simplePos x="0" y="0"/>
            <wp:positionH relativeFrom="page">
              <wp:posOffset>0</wp:posOffset>
            </wp:positionH>
            <wp:positionV relativeFrom="paragraph">
              <wp:posOffset>0</wp:posOffset>
            </wp:positionV>
            <wp:extent cx="7562850" cy="2268855"/>
            <wp:effectExtent l="0" t="0" r="0" b="0"/>
            <wp:wrapTopAndBottom/>
            <wp:docPr id="1" name="Drawing 0" descr="eb934f52c504b21f167f0127ddcf6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b934f52c504b21f167f0127ddcf66a1.png"/>
                    <pic:cNvPicPr>
                      <a:picLocks noChangeAspect="1"/>
                    </pic:cNvPicPr>
                  </pic:nvPicPr>
                  <pic:blipFill>
                    <a:blip r:embed="rId8"/>
                    <a:stretch>
                      <a:fillRect/>
                    </a:stretch>
                  </pic:blipFill>
                  <pic:spPr>
                    <a:xfrm>
                      <a:off x="0" y="0"/>
                      <a:ext cx="7562850" cy="2268855"/>
                    </a:xfrm>
                    <a:prstGeom prst="rect">
                      <a:avLst/>
                    </a:prstGeom>
                  </pic:spPr>
                </pic:pic>
              </a:graphicData>
            </a:graphic>
          </wp:anchor>
        </w:drawing>
      </w:r>
    </w:p>
    <w:p w14:paraId="3639F0B1" w14:textId="77777777" w:rsidR="00AF1271" w:rsidRPr="00AF1271" w:rsidRDefault="00AF1271">
      <w:pPr>
        <w:spacing w:before="120" w:after="120" w:line="336" w:lineRule="auto"/>
        <w:rPr>
          <w:rFonts w:ascii="Bodoni 72 Book" w:hAnsi="Bodoni 72 Book"/>
          <w:color w:val="0E361A"/>
          <w:lang w:val="es-ES"/>
        </w:rPr>
      </w:pPr>
      <w:r w:rsidRPr="00AF1271">
        <w:rPr>
          <w:rFonts w:ascii="Bodoni 72 Book" w:eastAsia="Prata" w:hAnsi="Bodoni 72 Book" w:cs="Prata"/>
          <w:color w:val="0E361A"/>
          <w:sz w:val="64"/>
          <w:szCs w:val="64"/>
          <w:lang w:val="es-ES"/>
        </w:rPr>
        <w:t xml:space="preserve">¿Cómo utilizar esta herramienta? </w:t>
      </w:r>
    </w:p>
    <w:p w14:paraId="0C92F0F5" w14:textId="4BCA981A" w:rsidR="00AF1271" w:rsidRPr="00AF1271" w:rsidRDefault="00000000">
      <w:pPr>
        <w:spacing w:before="120" w:after="120" w:line="336" w:lineRule="auto"/>
        <w:rPr>
          <w:rFonts w:ascii="Bodoni 72 Book" w:hAnsi="Bodoni 72 Book"/>
          <w:color w:val="0E361A"/>
          <w:lang w:val="es-ES"/>
        </w:rPr>
      </w:pPr>
      <w:r w:rsidRPr="00AF1271">
        <w:rPr>
          <w:rFonts w:ascii="Avenir Next" w:eastAsia="Montserrat" w:hAnsi="Avenir Next" w:cs="Montserrat"/>
          <w:color w:val="000000"/>
          <w:sz w:val="20"/>
          <w:szCs w:val="20"/>
          <w:lang w:val="es-ES"/>
        </w:rPr>
        <w:t>Esta herramienta se divide en dos secciones:</w:t>
      </w:r>
      <w:r w:rsidRPr="00AF1271">
        <w:rPr>
          <w:rFonts w:ascii="Avenir Next" w:eastAsia="Montserrat" w:hAnsi="Avenir Next" w:cs="Montserrat"/>
          <w:color w:val="2F5496"/>
          <w:sz w:val="20"/>
          <w:szCs w:val="20"/>
          <w:lang w:val="es-ES"/>
        </w:rPr>
        <w:t xml:space="preserve"> </w:t>
      </w:r>
    </w:p>
    <w:p w14:paraId="2ABB3621" w14:textId="77777777" w:rsidR="00AF1271" w:rsidRPr="00AF1271" w:rsidRDefault="00000000" w:rsidP="00AF1271">
      <w:pPr>
        <w:pStyle w:val="ListParagraph"/>
        <w:numPr>
          <w:ilvl w:val="0"/>
          <w:numId w:val="8"/>
        </w:numPr>
        <w:spacing w:before="120" w:after="120" w:line="336" w:lineRule="auto"/>
        <w:rPr>
          <w:rFonts w:ascii="Avenir Next" w:hAnsi="Avenir Next"/>
          <w:sz w:val="20"/>
          <w:szCs w:val="20"/>
          <w:lang w:val="es-ES"/>
        </w:rPr>
      </w:pPr>
      <w:r w:rsidRPr="00AF1271">
        <w:rPr>
          <w:rFonts w:ascii="Avenir Next" w:eastAsia="Montserrat" w:hAnsi="Avenir Next" w:cs="Montserrat"/>
          <w:b/>
          <w:bCs/>
          <w:color w:val="000000"/>
          <w:sz w:val="20"/>
          <w:szCs w:val="20"/>
          <w:lang w:val="es-ES"/>
        </w:rPr>
        <w:t>Sección A:</w:t>
      </w:r>
      <w:r w:rsidRPr="00AF1271">
        <w:rPr>
          <w:rFonts w:ascii="Avenir Next" w:eastAsia="Montserrat" w:hAnsi="Avenir Next" w:cs="Montserrat"/>
          <w:color w:val="000000"/>
          <w:sz w:val="20"/>
          <w:szCs w:val="20"/>
          <w:lang w:val="es-ES"/>
        </w:rPr>
        <w:t xml:space="preserve"> presenta el cuestionario de selección, que guía a los usuarios a través de la identificación de los elementos de salvaguardas de los programas J-REDD+, incluida la identificación de cualquier brecha.</w:t>
      </w:r>
      <w:r w:rsidRPr="00AF1271">
        <w:rPr>
          <w:rFonts w:ascii="Avenir Next" w:eastAsia="Montserrat" w:hAnsi="Avenir Next" w:cs="Montserrat"/>
          <w:color w:val="2F5496"/>
          <w:sz w:val="20"/>
          <w:szCs w:val="20"/>
          <w:lang w:val="es-ES"/>
        </w:rPr>
        <w:t xml:space="preserve"> </w:t>
      </w:r>
    </w:p>
    <w:p w14:paraId="25E6BB35" w14:textId="68E816AF" w:rsidR="006169C8" w:rsidRPr="00AF1271" w:rsidRDefault="00000000" w:rsidP="00AF1271">
      <w:pPr>
        <w:pStyle w:val="ListParagraph"/>
        <w:numPr>
          <w:ilvl w:val="0"/>
          <w:numId w:val="8"/>
        </w:numPr>
        <w:spacing w:before="120" w:after="120" w:line="336" w:lineRule="auto"/>
        <w:rPr>
          <w:rFonts w:ascii="Avenir Next" w:hAnsi="Avenir Next"/>
          <w:sz w:val="20"/>
          <w:szCs w:val="20"/>
          <w:lang w:val="es-ES"/>
        </w:rPr>
      </w:pPr>
      <w:r w:rsidRPr="00AF1271">
        <w:rPr>
          <w:rFonts w:ascii="Avenir Next" w:eastAsia="Montserrat" w:hAnsi="Avenir Next" w:cs="Montserrat"/>
          <w:b/>
          <w:bCs/>
          <w:color w:val="000000"/>
          <w:sz w:val="20"/>
          <w:szCs w:val="20"/>
          <w:lang w:val="es-ES"/>
        </w:rPr>
        <w:t>Sección B:</w:t>
      </w:r>
      <w:r w:rsidRPr="00AF1271">
        <w:rPr>
          <w:rFonts w:ascii="Avenir Next" w:eastAsia="Montserrat" w:hAnsi="Avenir Next" w:cs="Montserrat"/>
          <w:color w:val="000000"/>
          <w:sz w:val="20"/>
          <w:szCs w:val="20"/>
          <w:lang w:val="es-ES"/>
        </w:rPr>
        <w:t xml:space="preserve"> presenta una plantilla de 'Informe de selección de salvaguardas J-REDD', que debe completarse en función de los resultados de la Sección 'A' y se utilizará para informar el alcance de la revisión cualitativa </w:t>
      </w:r>
    </w:p>
    <w:p w14:paraId="1078C331" w14:textId="77777777" w:rsidR="00AF1271" w:rsidRPr="00AF1271" w:rsidRDefault="00AF1271">
      <w:pPr>
        <w:spacing w:before="120" w:after="120" w:line="336" w:lineRule="auto"/>
        <w:rPr>
          <w:rFonts w:ascii="Avenir Next" w:eastAsia="Montserrat" w:hAnsi="Avenir Next" w:cs="Montserrat"/>
          <w:color w:val="000000"/>
          <w:sz w:val="20"/>
          <w:szCs w:val="20"/>
          <w:lang w:val="es-ES"/>
        </w:rPr>
      </w:pPr>
    </w:p>
    <w:p w14:paraId="01C34D33" w14:textId="77777777" w:rsidR="00AF1271" w:rsidRPr="00AF1271" w:rsidRDefault="00AF1271">
      <w:pPr>
        <w:spacing w:before="120" w:after="120" w:line="336" w:lineRule="auto"/>
        <w:rPr>
          <w:rFonts w:ascii="Avenir Next" w:eastAsia="Montserrat" w:hAnsi="Avenir Next" w:cs="Montserrat"/>
          <w:color w:val="000000"/>
          <w:sz w:val="20"/>
          <w:szCs w:val="20"/>
          <w:lang w:val="es-ES"/>
        </w:rPr>
      </w:pPr>
    </w:p>
    <w:p w14:paraId="19B09DA1" w14:textId="77777777" w:rsidR="00AF1271" w:rsidRPr="00AF1271" w:rsidRDefault="00AF1271">
      <w:pPr>
        <w:spacing w:before="120" w:after="120" w:line="336" w:lineRule="auto"/>
        <w:rPr>
          <w:rFonts w:ascii="Montserrat" w:eastAsia="Montserrat" w:hAnsi="Montserrat" w:cs="Montserrat"/>
          <w:color w:val="000000"/>
          <w:sz w:val="64"/>
          <w:szCs w:val="64"/>
          <w:lang w:val="es-ES"/>
        </w:rPr>
      </w:pPr>
    </w:p>
    <w:p w14:paraId="78F124B8" w14:textId="77777777" w:rsidR="00AF1271" w:rsidRPr="00AF1271" w:rsidRDefault="00AF1271">
      <w:pPr>
        <w:spacing w:before="120" w:after="120" w:line="336" w:lineRule="auto"/>
        <w:rPr>
          <w:rFonts w:ascii="Montserrat" w:eastAsia="Montserrat" w:hAnsi="Montserrat" w:cs="Montserrat"/>
          <w:color w:val="000000"/>
          <w:sz w:val="64"/>
          <w:szCs w:val="64"/>
          <w:lang w:val="es-ES"/>
        </w:rPr>
      </w:pPr>
    </w:p>
    <w:p w14:paraId="3E450790" w14:textId="77777777" w:rsidR="00AF1271" w:rsidRPr="00AF1271" w:rsidRDefault="00AF1271">
      <w:pPr>
        <w:spacing w:before="120" w:after="120" w:line="336" w:lineRule="auto"/>
        <w:rPr>
          <w:rFonts w:ascii="Montserrat" w:eastAsia="Montserrat" w:hAnsi="Montserrat" w:cs="Montserrat"/>
          <w:color w:val="000000"/>
          <w:sz w:val="64"/>
          <w:szCs w:val="64"/>
          <w:lang w:val="es-ES"/>
        </w:rPr>
      </w:pPr>
    </w:p>
    <w:p w14:paraId="26884755" w14:textId="77777777" w:rsidR="00AF1271" w:rsidRPr="00AF1271" w:rsidRDefault="00AF1271">
      <w:pPr>
        <w:spacing w:before="120" w:after="120" w:line="336" w:lineRule="auto"/>
        <w:rPr>
          <w:rFonts w:ascii="Montserrat" w:eastAsia="Montserrat" w:hAnsi="Montserrat" w:cs="Montserrat"/>
          <w:color w:val="000000"/>
          <w:sz w:val="64"/>
          <w:szCs w:val="64"/>
          <w:lang w:val="es-ES"/>
        </w:rPr>
      </w:pPr>
    </w:p>
    <w:p w14:paraId="633BDDB1" w14:textId="56A216AF" w:rsidR="006169C8" w:rsidRPr="00AF1271" w:rsidRDefault="00AF1271">
      <w:pPr>
        <w:spacing w:before="120" w:after="120" w:line="336" w:lineRule="auto"/>
        <w:rPr>
          <w:rFonts w:ascii="Bodoni 72 Book" w:hAnsi="Bodoni 72 Book"/>
          <w:color w:val="0E361A"/>
          <w:lang w:val="es-ES"/>
        </w:rPr>
      </w:pPr>
      <w:r w:rsidRPr="00AF1271">
        <w:rPr>
          <w:rFonts w:ascii="Bodoni 72 Book" w:eastAsia="Montserrat" w:hAnsi="Bodoni 72 Book" w:cs="Montserrat"/>
          <w:color w:val="0E361A"/>
          <w:sz w:val="64"/>
          <w:szCs w:val="64"/>
          <w:lang w:val="es-ES"/>
        </w:rPr>
        <w:lastRenderedPageBreak/>
        <w:t xml:space="preserve">Sección A: Cuestionario de selección </w:t>
      </w:r>
    </w:p>
    <w:p w14:paraId="05BEA741" w14:textId="77777777" w:rsidR="00AF1271" w:rsidRDefault="00000000">
      <w:pPr>
        <w:spacing w:before="120" w:after="120" w:line="336" w:lineRule="auto"/>
        <w:rPr>
          <w:lang w:val="es-ES"/>
        </w:rPr>
      </w:pPr>
      <w:r w:rsidRPr="00AF1271">
        <w:rPr>
          <w:rFonts w:ascii="IBM Plex Sans" w:eastAsia="IBM Plex Sans" w:hAnsi="IBM Plex Sans" w:cs="IBM Plex Sans"/>
          <w:color w:val="000000"/>
          <w:sz w:val="22"/>
          <w:szCs w:val="22"/>
          <w:lang w:val="es-ES"/>
        </w:rPr>
        <w:t xml:space="preserve">Para completar este cuestionario, los usuarios deben considerar el alcance de cada columna de la siguiente manera: </w:t>
      </w:r>
    </w:p>
    <w:p w14:paraId="5DB595EC" w14:textId="77777777" w:rsidR="00AF1271" w:rsidRPr="00AF1271" w:rsidRDefault="00000000" w:rsidP="00AF1271">
      <w:pPr>
        <w:pStyle w:val="ListParagraph"/>
        <w:numPr>
          <w:ilvl w:val="0"/>
          <w:numId w:val="12"/>
        </w:numPr>
        <w:spacing w:before="120" w:after="120" w:line="336" w:lineRule="auto"/>
        <w:rPr>
          <w:lang w:val="es-ES"/>
        </w:rPr>
      </w:pPr>
      <w:r w:rsidRPr="00AF1271">
        <w:rPr>
          <w:rFonts w:ascii="IBM Plex Sans" w:eastAsia="IBM Plex Sans" w:hAnsi="IBM Plex Sans" w:cs="IBM Plex Sans"/>
          <w:color w:val="000000"/>
          <w:sz w:val="22"/>
          <w:szCs w:val="22"/>
          <w:u w:val="single"/>
          <w:lang w:val="es-ES"/>
        </w:rPr>
        <w:t>Criterios</w:t>
      </w:r>
      <w:r w:rsidRPr="00AF1271">
        <w:rPr>
          <w:rFonts w:ascii="IBM Plex Sans" w:eastAsia="IBM Plex Sans" w:hAnsi="IBM Plex Sans" w:cs="IBM Plex Sans"/>
          <w:color w:val="000000"/>
          <w:sz w:val="22"/>
          <w:szCs w:val="22"/>
          <w:lang w:val="es-ES"/>
        </w:rPr>
        <w:t xml:space="preserve">: presenta preguntas orientadoras para los usuarios que apuntan a comprender el alcance de desarrollo de estos elementos, sin entrar en aspectos cualitativos. </w:t>
      </w:r>
    </w:p>
    <w:p w14:paraId="68B6DF36" w14:textId="0218B9FD" w:rsidR="00AF1271" w:rsidRPr="00AF1271" w:rsidRDefault="00000000" w:rsidP="00AF1271">
      <w:pPr>
        <w:pStyle w:val="ListParagraph"/>
        <w:numPr>
          <w:ilvl w:val="0"/>
          <w:numId w:val="12"/>
        </w:numPr>
        <w:spacing w:before="120" w:after="120" w:line="336" w:lineRule="auto"/>
        <w:rPr>
          <w:lang w:val="es-ES"/>
        </w:rPr>
      </w:pPr>
      <w:r w:rsidRPr="00AF1271">
        <w:rPr>
          <w:rFonts w:ascii="IBM Plex Sans" w:eastAsia="IBM Plex Sans" w:hAnsi="IBM Plex Sans" w:cs="IBM Plex Sans"/>
          <w:color w:val="000000"/>
          <w:sz w:val="22"/>
          <w:szCs w:val="22"/>
          <w:u w:val="single"/>
          <w:lang w:val="es-ES"/>
        </w:rPr>
        <w:t>Puntuación</w:t>
      </w:r>
      <w:r w:rsidRPr="00AF1271">
        <w:rPr>
          <w:rFonts w:ascii="IBM Plex Sans" w:eastAsia="IBM Plex Sans" w:hAnsi="IBM Plex Sans" w:cs="IBM Plex Sans"/>
          <w:color w:val="000000"/>
          <w:sz w:val="22"/>
          <w:szCs w:val="22"/>
          <w:lang w:val="es-ES"/>
        </w:rPr>
        <w:t xml:space="preserve">: los usuarios deben aplicar la siguiente guía de puntuación: </w:t>
      </w:r>
    </w:p>
    <w:p w14:paraId="3787E85E" w14:textId="0B972A91" w:rsidR="00AF1271" w:rsidRPr="00AF1271" w:rsidRDefault="00AF1271" w:rsidP="00AF1271">
      <w:pPr>
        <w:pStyle w:val="ListParagraph"/>
        <w:numPr>
          <w:ilvl w:val="1"/>
          <w:numId w:val="12"/>
        </w:numPr>
        <w:spacing w:before="120" w:after="120" w:line="336" w:lineRule="auto"/>
        <w:rPr>
          <w:lang w:val="es-ES"/>
        </w:rPr>
      </w:pPr>
      <w:r w:rsidRPr="00031D7C">
        <w:rPr>
          <w:rFonts w:ascii="Avenir Next" w:hAnsi="Avenir Next"/>
          <w:noProof/>
          <w:sz w:val="20"/>
          <w:szCs w:val="20"/>
        </w:rPr>
        <w:drawing>
          <wp:anchor distT="0" distB="0" distL="114300" distR="114300" simplePos="0" relativeHeight="251661312" behindDoc="1" locked="0" layoutInCell="1" allowOverlap="1" wp14:anchorId="080684DD" wp14:editId="0B4FB9E0">
            <wp:simplePos x="0" y="0"/>
            <wp:positionH relativeFrom="column">
              <wp:posOffset>4539585</wp:posOffset>
            </wp:positionH>
            <wp:positionV relativeFrom="paragraph">
              <wp:posOffset>53340</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AF1271">
        <w:rPr>
          <w:rFonts w:ascii="IBM Plex Sans" w:eastAsia="IBM Plex Sans" w:hAnsi="IBM Plex Sans" w:cs="IBM Plex Sans"/>
          <w:b/>
          <w:bCs/>
          <w:color w:val="000000"/>
          <w:sz w:val="22"/>
          <w:szCs w:val="22"/>
          <w:lang w:val="es-ES"/>
        </w:rPr>
        <w:t>Sí</w:t>
      </w:r>
      <w:r w:rsidRPr="00AF1271">
        <w:rPr>
          <w:rFonts w:ascii="IBM Plex Sans" w:eastAsia="IBM Plex Sans" w:hAnsi="IBM Plex Sans" w:cs="IBM Plex Sans"/>
          <w:color w:val="000000"/>
          <w:sz w:val="22"/>
          <w:szCs w:val="22"/>
          <w:lang w:val="es-ES"/>
        </w:rPr>
        <w:t xml:space="preserve">: </w:t>
      </w:r>
      <w:r w:rsidR="00075034">
        <w:rPr>
          <w:rFonts w:ascii="IBM Plex Sans" w:eastAsia="IBM Plex Sans" w:hAnsi="IBM Plex Sans" w:cs="IBM Plex Sans"/>
          <w:color w:val="000000"/>
          <w:sz w:val="22"/>
          <w:szCs w:val="22"/>
          <w:lang w:val="es-ES"/>
        </w:rPr>
        <w:t>e</w:t>
      </w:r>
      <w:r w:rsidRPr="00AF1271">
        <w:rPr>
          <w:rFonts w:ascii="IBM Plex Sans" w:eastAsia="IBM Plex Sans" w:hAnsi="IBM Plex Sans" w:cs="IBM Plex Sans"/>
          <w:color w:val="000000"/>
          <w:sz w:val="22"/>
          <w:szCs w:val="22"/>
          <w:lang w:val="es-ES"/>
        </w:rPr>
        <w:t xml:space="preserve">l programa J-REDD+ aborda los criterios. </w:t>
      </w:r>
    </w:p>
    <w:p w14:paraId="1CF2C838" w14:textId="31AA9902" w:rsidR="00AF1271" w:rsidRPr="00AF1271" w:rsidRDefault="00AF1271" w:rsidP="00AF1271">
      <w:pPr>
        <w:pStyle w:val="ListParagraph"/>
        <w:numPr>
          <w:ilvl w:val="1"/>
          <w:numId w:val="12"/>
        </w:numPr>
        <w:spacing w:before="120" w:after="120" w:line="336" w:lineRule="auto"/>
        <w:rPr>
          <w:lang w:val="es-ES"/>
        </w:rPr>
      </w:pPr>
      <w:r>
        <w:rPr>
          <w:noProof/>
        </w:rPr>
        <w:drawing>
          <wp:anchor distT="0" distB="0" distL="114300" distR="114300" simplePos="0" relativeHeight="251663360" behindDoc="0" locked="0" layoutInCell="1" allowOverlap="1" wp14:anchorId="1962E046" wp14:editId="47FAADDA">
            <wp:simplePos x="0" y="0"/>
            <wp:positionH relativeFrom="column">
              <wp:posOffset>4444410</wp:posOffset>
            </wp:positionH>
            <wp:positionV relativeFrom="paragraph">
              <wp:posOffset>340508</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AF1271">
        <w:rPr>
          <w:rFonts w:ascii="IBM Plex Sans" w:eastAsia="IBM Plex Sans" w:hAnsi="IBM Plex Sans" w:cs="IBM Plex Sans"/>
          <w:b/>
          <w:bCs/>
          <w:color w:val="000000"/>
          <w:sz w:val="22"/>
          <w:szCs w:val="22"/>
          <w:lang w:val="es-ES"/>
        </w:rPr>
        <w:t>Parcialmente</w:t>
      </w:r>
      <w:r w:rsidRPr="00AF1271">
        <w:rPr>
          <w:rFonts w:ascii="IBM Plex Sans" w:eastAsia="IBM Plex Sans" w:hAnsi="IBM Plex Sans" w:cs="IBM Plex Sans"/>
          <w:color w:val="000000"/>
          <w:sz w:val="22"/>
          <w:szCs w:val="22"/>
          <w:lang w:val="es-ES"/>
        </w:rPr>
        <w:t xml:space="preserve">: </w:t>
      </w:r>
      <w:r w:rsidR="00075034">
        <w:rPr>
          <w:rFonts w:ascii="IBM Plex Sans" w:eastAsia="IBM Plex Sans" w:hAnsi="IBM Plex Sans" w:cs="IBM Plex Sans"/>
          <w:color w:val="000000"/>
          <w:sz w:val="22"/>
          <w:szCs w:val="22"/>
          <w:lang w:val="es-ES"/>
        </w:rPr>
        <w:t>e</w:t>
      </w:r>
      <w:r w:rsidRPr="00AF1271">
        <w:rPr>
          <w:rFonts w:ascii="IBM Plex Sans" w:eastAsia="IBM Plex Sans" w:hAnsi="IBM Plex Sans" w:cs="IBM Plex Sans"/>
          <w:color w:val="000000"/>
          <w:sz w:val="22"/>
          <w:szCs w:val="22"/>
          <w:lang w:val="es-ES"/>
        </w:rPr>
        <w:t xml:space="preserve">l programa J-REDD+ aborda parcialmente los criterios. </w:t>
      </w:r>
    </w:p>
    <w:p w14:paraId="4D570A8D" w14:textId="7A270A59" w:rsidR="00AF1271" w:rsidRPr="00AF1271" w:rsidRDefault="00000000" w:rsidP="00AF1271">
      <w:pPr>
        <w:pStyle w:val="ListParagraph"/>
        <w:numPr>
          <w:ilvl w:val="1"/>
          <w:numId w:val="12"/>
        </w:numPr>
        <w:spacing w:before="120" w:after="120" w:line="336" w:lineRule="auto"/>
        <w:rPr>
          <w:lang w:val="es-ES"/>
        </w:rPr>
      </w:pPr>
      <w:r w:rsidRPr="00AF1271">
        <w:rPr>
          <w:rFonts w:ascii="IBM Plex Sans" w:eastAsia="IBM Plex Sans" w:hAnsi="IBM Plex Sans" w:cs="IBM Plex Sans"/>
          <w:b/>
          <w:bCs/>
          <w:color w:val="000000"/>
          <w:sz w:val="22"/>
          <w:szCs w:val="22"/>
          <w:lang w:val="es-ES"/>
        </w:rPr>
        <w:t>No</w:t>
      </w:r>
      <w:r w:rsidRPr="00AF1271">
        <w:rPr>
          <w:rFonts w:ascii="IBM Plex Sans" w:eastAsia="IBM Plex Sans" w:hAnsi="IBM Plex Sans" w:cs="IBM Plex Sans"/>
          <w:color w:val="000000"/>
          <w:sz w:val="22"/>
          <w:szCs w:val="22"/>
          <w:lang w:val="es-ES"/>
        </w:rPr>
        <w:t xml:space="preserve">: </w:t>
      </w:r>
      <w:r w:rsidR="00075034">
        <w:rPr>
          <w:rFonts w:ascii="IBM Plex Sans" w:eastAsia="IBM Plex Sans" w:hAnsi="IBM Plex Sans" w:cs="IBM Plex Sans"/>
          <w:color w:val="000000"/>
          <w:sz w:val="22"/>
          <w:szCs w:val="22"/>
          <w:lang w:val="es-ES"/>
        </w:rPr>
        <w:t>e</w:t>
      </w:r>
      <w:r w:rsidRPr="00AF1271">
        <w:rPr>
          <w:rFonts w:ascii="IBM Plex Sans" w:eastAsia="IBM Plex Sans" w:hAnsi="IBM Plex Sans" w:cs="IBM Plex Sans"/>
          <w:color w:val="000000"/>
          <w:sz w:val="22"/>
          <w:szCs w:val="22"/>
          <w:lang w:val="es-ES"/>
        </w:rPr>
        <w:t xml:space="preserve">l programa J-REDD+ no aborda los criterios. </w:t>
      </w:r>
    </w:p>
    <w:p w14:paraId="7925D92D" w14:textId="48B08EF4" w:rsidR="00AF1271" w:rsidRPr="00AF1271" w:rsidRDefault="00000000" w:rsidP="00AF1271">
      <w:pPr>
        <w:pStyle w:val="ListParagraph"/>
        <w:numPr>
          <w:ilvl w:val="0"/>
          <w:numId w:val="12"/>
        </w:numPr>
        <w:spacing w:before="120" w:after="120" w:line="336" w:lineRule="auto"/>
        <w:rPr>
          <w:lang w:val="es-ES"/>
        </w:rPr>
      </w:pPr>
      <w:r w:rsidRPr="00AF1271">
        <w:rPr>
          <w:rFonts w:ascii="IBM Plex Sans" w:eastAsia="IBM Plex Sans" w:hAnsi="IBM Plex Sans" w:cs="IBM Plex Sans"/>
          <w:color w:val="000000"/>
          <w:sz w:val="22"/>
          <w:szCs w:val="22"/>
          <w:u w:val="single"/>
          <w:lang w:val="es-ES"/>
        </w:rPr>
        <w:t>Comentarios</w:t>
      </w:r>
      <w:r w:rsidRPr="00AF1271">
        <w:rPr>
          <w:rFonts w:ascii="IBM Plex Sans" w:eastAsia="IBM Plex Sans" w:hAnsi="IBM Plex Sans" w:cs="IBM Plex Sans"/>
          <w:color w:val="000000"/>
          <w:sz w:val="22"/>
          <w:szCs w:val="22"/>
          <w:lang w:val="es-ES"/>
        </w:rPr>
        <w:t xml:space="preserve">: oportunidad para que los usuarios ofrezcan información adicional y/o aclaraciones </w:t>
      </w:r>
      <w:r w:rsidR="00763585" w:rsidRPr="00AF1271">
        <w:rPr>
          <w:rFonts w:ascii="IBM Plex Sans" w:eastAsia="IBM Plex Sans" w:hAnsi="IBM Plex Sans" w:cs="IBM Plex Sans"/>
          <w:color w:val="000000"/>
          <w:sz w:val="22"/>
          <w:szCs w:val="22"/>
          <w:lang w:val="es-ES"/>
        </w:rPr>
        <w:t>con relación a</w:t>
      </w:r>
      <w:r w:rsidRPr="00AF1271">
        <w:rPr>
          <w:rFonts w:ascii="IBM Plex Sans" w:eastAsia="IBM Plex Sans" w:hAnsi="IBM Plex Sans" w:cs="IBM Plex Sans"/>
          <w:color w:val="000000"/>
          <w:sz w:val="22"/>
          <w:szCs w:val="22"/>
          <w:lang w:val="es-ES"/>
        </w:rPr>
        <w:t xml:space="preserve"> su puntuación. </w:t>
      </w:r>
    </w:p>
    <w:p w14:paraId="4C91A133" w14:textId="5AC6011F" w:rsidR="006169C8" w:rsidRPr="00AF1271" w:rsidRDefault="00000000" w:rsidP="00AF1271">
      <w:pPr>
        <w:pStyle w:val="ListParagraph"/>
        <w:numPr>
          <w:ilvl w:val="0"/>
          <w:numId w:val="12"/>
        </w:numPr>
        <w:spacing w:before="120" w:after="120" w:line="336" w:lineRule="auto"/>
        <w:rPr>
          <w:lang w:val="es-ES"/>
        </w:rPr>
      </w:pPr>
      <w:r w:rsidRPr="00AF1271">
        <w:rPr>
          <w:rFonts w:ascii="IBM Plex Sans" w:eastAsia="IBM Plex Sans" w:hAnsi="IBM Plex Sans" w:cs="IBM Plex Sans"/>
          <w:color w:val="000000"/>
          <w:sz w:val="22"/>
          <w:szCs w:val="22"/>
          <w:u w:val="single"/>
          <w:lang w:val="es-ES"/>
        </w:rPr>
        <w:t>Medios de verificación:</w:t>
      </w:r>
      <w:r w:rsidRPr="00AF1271">
        <w:rPr>
          <w:rFonts w:ascii="IBM Plex Sans" w:eastAsia="IBM Plex Sans" w:hAnsi="IBM Plex Sans" w:cs="IBM Plex Sans"/>
          <w:color w:val="000000"/>
          <w:sz w:val="22"/>
          <w:szCs w:val="22"/>
          <w:lang w:val="es-ES"/>
        </w:rPr>
        <w:t xml:space="preserve"> los usuarios deberán identificar la documentación de respaldo que han utilizado para responder a cada pregunta, incluyendo hipervínculos con información adicional. </w:t>
      </w:r>
    </w:p>
    <w:p w14:paraId="09E1FE38" w14:textId="77777777" w:rsidR="006169C8" w:rsidRPr="00AF1271" w:rsidRDefault="00000000">
      <w:pPr>
        <w:spacing w:before="120" w:after="120" w:line="336" w:lineRule="auto"/>
        <w:rPr>
          <w:lang w:val="es-ES"/>
        </w:rPr>
      </w:pPr>
      <w:r w:rsidRPr="00AF1271">
        <w:rPr>
          <w:rFonts w:ascii="IBM Plex Sans" w:eastAsia="IBM Plex Sans" w:hAnsi="IBM Plex Sans" w:cs="IBM Plex Sans"/>
          <w:color w:val="000000"/>
          <w:sz w:val="22"/>
          <w:szCs w:val="22"/>
          <w:lang w:val="es-ES"/>
        </w:rPr>
        <w:t xml:space="preserve"> </w:t>
      </w:r>
    </w:p>
    <w:p w14:paraId="22FCDFB0" w14:textId="77777777" w:rsidR="00AF1271" w:rsidRPr="00AF1271" w:rsidRDefault="00AF1271">
      <w:pPr>
        <w:spacing w:before="120" w:after="120" w:line="336" w:lineRule="auto"/>
        <w:rPr>
          <w:rFonts w:ascii="Montserrat" w:eastAsia="Montserrat" w:hAnsi="Montserrat" w:cs="Montserrat"/>
          <w:color w:val="00646A"/>
          <w:sz w:val="64"/>
          <w:szCs w:val="64"/>
          <w:lang w:val="es-ES"/>
        </w:rPr>
      </w:pPr>
    </w:p>
    <w:p w14:paraId="5331456F" w14:textId="77777777" w:rsidR="00AF1271" w:rsidRDefault="00AF1271">
      <w:pPr>
        <w:spacing w:before="120" w:after="120" w:line="336" w:lineRule="auto"/>
        <w:rPr>
          <w:rFonts w:ascii="Montserrat" w:eastAsia="Montserrat" w:hAnsi="Montserrat" w:cs="Montserrat"/>
          <w:color w:val="00646A"/>
          <w:sz w:val="64"/>
          <w:szCs w:val="64"/>
          <w:lang w:val="es-ES"/>
        </w:rPr>
      </w:pPr>
    </w:p>
    <w:p w14:paraId="4338E050" w14:textId="77777777" w:rsidR="00AF1271" w:rsidRDefault="00AF1271">
      <w:pPr>
        <w:spacing w:before="120" w:after="120" w:line="336" w:lineRule="auto"/>
        <w:rPr>
          <w:rFonts w:ascii="Montserrat" w:eastAsia="Montserrat" w:hAnsi="Montserrat" w:cs="Montserrat"/>
          <w:color w:val="00646A"/>
          <w:sz w:val="64"/>
          <w:szCs w:val="64"/>
          <w:lang w:val="es-ES"/>
        </w:rPr>
      </w:pPr>
    </w:p>
    <w:p w14:paraId="2088F2AD" w14:textId="77777777" w:rsidR="00AF1271" w:rsidRPr="00AF1271" w:rsidRDefault="00AF1271">
      <w:pPr>
        <w:spacing w:before="120" w:after="120" w:line="336" w:lineRule="auto"/>
        <w:rPr>
          <w:rFonts w:ascii="Montserrat" w:eastAsia="Montserrat" w:hAnsi="Montserrat" w:cs="Montserrat"/>
          <w:color w:val="00646A"/>
          <w:sz w:val="64"/>
          <w:szCs w:val="64"/>
          <w:lang w:val="es-ES"/>
        </w:rPr>
      </w:pPr>
    </w:p>
    <w:p w14:paraId="4ECA9A5F" w14:textId="77777777" w:rsidR="00AF1271" w:rsidRDefault="00AF1271">
      <w:pPr>
        <w:spacing w:before="120" w:after="120" w:line="336" w:lineRule="auto"/>
        <w:rPr>
          <w:rFonts w:ascii="Montserrat" w:eastAsia="Montserrat" w:hAnsi="Montserrat" w:cs="Montserrat"/>
          <w:color w:val="00646A"/>
          <w:sz w:val="64"/>
          <w:szCs w:val="64"/>
          <w:lang w:val="es-ES"/>
        </w:rPr>
        <w:sectPr w:rsidR="00AF1271" w:rsidSect="00F42EF7">
          <w:pgSz w:w="11910" w:h="16845"/>
          <w:pgMar w:top="1440" w:right="1440" w:bottom="1440" w:left="1440" w:header="720" w:footer="720" w:gutter="0"/>
          <w:cols w:space="720"/>
        </w:sectPr>
      </w:pPr>
    </w:p>
    <w:p w14:paraId="57B0E46B" w14:textId="3837C699" w:rsidR="00AF1271" w:rsidRPr="00AF1271" w:rsidRDefault="00AF1271">
      <w:pPr>
        <w:spacing w:before="120" w:after="120" w:line="336" w:lineRule="auto"/>
        <w:rPr>
          <w:rFonts w:ascii="Montserrat" w:eastAsia="Montserrat" w:hAnsi="Montserrat" w:cs="Montserrat"/>
          <w:color w:val="00646A"/>
          <w:sz w:val="64"/>
          <w:szCs w:val="64"/>
          <w:lang w:val="es-ES"/>
        </w:rPr>
      </w:pPr>
      <w:r w:rsidRPr="00AF1271">
        <w:rPr>
          <w:rFonts w:ascii="Bodoni 72 Book" w:eastAsia="Montserrat" w:hAnsi="Bodoni 72 Book" w:cs="Montserrat"/>
          <w:color w:val="0E361A"/>
          <w:sz w:val="64"/>
          <w:szCs w:val="64"/>
          <w:lang w:val="es-ES"/>
        </w:rPr>
        <w:lastRenderedPageBreak/>
        <w:t>Cuestionario de selección</w:t>
      </w:r>
    </w:p>
    <w:tbl>
      <w:tblPr>
        <w:tblStyle w:val="TableGrid"/>
        <w:tblW w:w="14312" w:type="dxa"/>
        <w:tblBorders>
          <w:top w:val="single" w:sz="6" w:space="0" w:color="0E361A"/>
          <w:left w:val="single" w:sz="6" w:space="0" w:color="0E361A"/>
          <w:bottom w:val="single" w:sz="6" w:space="0" w:color="0E361A"/>
          <w:right w:val="single" w:sz="6" w:space="0" w:color="0E361A"/>
          <w:insideH w:val="single" w:sz="6" w:space="0" w:color="0E361A"/>
          <w:insideV w:val="single" w:sz="6" w:space="0" w:color="0E361A"/>
        </w:tblBorders>
        <w:tblLook w:val="04A0" w:firstRow="1" w:lastRow="0" w:firstColumn="1" w:lastColumn="0" w:noHBand="0" w:noVBand="1"/>
      </w:tblPr>
      <w:tblGrid>
        <w:gridCol w:w="4248"/>
        <w:gridCol w:w="2126"/>
        <w:gridCol w:w="4360"/>
        <w:gridCol w:w="3578"/>
      </w:tblGrid>
      <w:tr w:rsidR="00AF1271" w:rsidRPr="00AF1271" w14:paraId="12ABE98E" w14:textId="77777777" w:rsidTr="00AF1271">
        <w:tc>
          <w:tcPr>
            <w:tcW w:w="14312" w:type="dxa"/>
            <w:gridSpan w:val="4"/>
            <w:shd w:val="clear" w:color="auto" w:fill="0E361A"/>
            <w:vAlign w:val="center"/>
          </w:tcPr>
          <w:p w14:paraId="3C672741" w14:textId="77777777" w:rsidR="00AF1271" w:rsidRPr="00AF1271" w:rsidRDefault="00AF1271" w:rsidP="00AF1271">
            <w:pPr>
              <w:rPr>
                <w:rFonts w:ascii="Avenir Next Ultra Light" w:hAnsi="Avenir Next Ultra Light" w:cs="Calibri"/>
                <w:b/>
                <w:bCs/>
                <w:color w:val="FFFFFF" w:themeColor="background1"/>
                <w:lang w:val="es-ES"/>
              </w:rPr>
            </w:pPr>
            <w:r w:rsidRPr="00AF1271">
              <w:rPr>
                <w:rFonts w:ascii="Avenir Next Ultra Light" w:hAnsi="Avenir Next Ultra Light" w:cs="Calibri"/>
                <w:b/>
                <w:bCs/>
                <w:color w:val="FFFFFF" w:themeColor="background1"/>
                <w:lang w:val="es-ES"/>
              </w:rPr>
              <w:t>Sistema de Información de Salvaguardas (SIS)*</w:t>
            </w:r>
          </w:p>
          <w:p w14:paraId="7C34DA69" w14:textId="010BEF5A" w:rsidR="00AF1271" w:rsidRPr="00AF1271" w:rsidRDefault="00AF1271" w:rsidP="00AF1271">
            <w:pPr>
              <w:rPr>
                <w:rFonts w:ascii="Avenir Next Ultra Light" w:hAnsi="Avenir Next Ultra Light"/>
                <w:i/>
                <w:iCs/>
                <w:sz w:val="20"/>
                <w:szCs w:val="20"/>
                <w:lang w:val="es-ES"/>
              </w:rPr>
            </w:pPr>
            <w:r w:rsidRPr="00AF1271">
              <w:rPr>
                <w:rFonts w:ascii="Avenir Next Ultra Light" w:hAnsi="Avenir Next Ultra Light"/>
                <w:i/>
                <w:iCs/>
                <w:sz w:val="20"/>
                <w:szCs w:val="20"/>
                <w:lang w:val="es-ES"/>
              </w:rPr>
              <w:t xml:space="preserve">*Sistemas equivalentes para jurisdicciones subnacionales, que deben contar con un 'sistema de presentación de informes' subnacional que les permita informar tanto al gobierno nacional como a las partes interesadas nacionales sobre cómo se abordan y respetan las salvaguardas de la CMNUCC a nivel subnacional. </w:t>
            </w:r>
          </w:p>
        </w:tc>
      </w:tr>
      <w:tr w:rsidR="00AF1271" w:rsidRPr="00AF1271" w14:paraId="61FF41D9" w14:textId="77777777" w:rsidTr="00AF1271">
        <w:tc>
          <w:tcPr>
            <w:tcW w:w="4248" w:type="dxa"/>
            <w:shd w:val="clear" w:color="auto" w:fill="68807A"/>
            <w:vAlign w:val="center"/>
          </w:tcPr>
          <w:p w14:paraId="682BA65B"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Criterios</w:t>
            </w:r>
          </w:p>
        </w:tc>
        <w:tc>
          <w:tcPr>
            <w:tcW w:w="2126" w:type="dxa"/>
            <w:shd w:val="clear" w:color="auto" w:fill="68807A"/>
            <w:vAlign w:val="center"/>
          </w:tcPr>
          <w:p w14:paraId="6D99CC9E"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Puntuación</w:t>
            </w:r>
          </w:p>
          <w:p w14:paraId="404BC841"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(Si/No/Parcialmente)</w:t>
            </w:r>
          </w:p>
        </w:tc>
        <w:tc>
          <w:tcPr>
            <w:tcW w:w="4360" w:type="dxa"/>
            <w:shd w:val="clear" w:color="auto" w:fill="68807A"/>
            <w:vAlign w:val="center"/>
          </w:tcPr>
          <w:p w14:paraId="364E2D05"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Comentarios</w:t>
            </w:r>
          </w:p>
        </w:tc>
        <w:tc>
          <w:tcPr>
            <w:tcW w:w="3578" w:type="dxa"/>
            <w:shd w:val="clear" w:color="auto" w:fill="68807A"/>
            <w:vAlign w:val="center"/>
          </w:tcPr>
          <w:p w14:paraId="7021F6A0"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Medios de verificación</w:t>
            </w:r>
          </w:p>
        </w:tc>
      </w:tr>
      <w:tr w:rsidR="00AF1271" w:rsidRPr="00AF1271" w14:paraId="153FFD05" w14:textId="77777777" w:rsidTr="00AF1271">
        <w:tc>
          <w:tcPr>
            <w:tcW w:w="4248" w:type="dxa"/>
          </w:tcPr>
          <w:p w14:paraId="188E0710"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¿Tiene el SIS (o equivalente) un acuerdo institucional</w:t>
            </w:r>
            <w:r w:rsidRPr="00AF1271">
              <w:rPr>
                <w:rStyle w:val="FootnoteReference"/>
                <w:rFonts w:ascii="Avenir Next" w:hAnsi="Avenir Next"/>
                <w:sz w:val="20"/>
                <w:szCs w:val="20"/>
                <w:lang w:val="es-ES"/>
              </w:rPr>
              <w:footnoteReference w:id="1"/>
            </w:r>
            <w:r w:rsidRPr="00AF1271">
              <w:rPr>
                <w:rFonts w:ascii="Avenir Next" w:hAnsi="Avenir Next"/>
                <w:sz w:val="20"/>
                <w:szCs w:val="20"/>
                <w:lang w:val="es-ES"/>
              </w:rPr>
              <w:t xml:space="preserve"> </w:t>
            </w:r>
            <w:r w:rsidRPr="00AF1271">
              <w:rPr>
                <w:rStyle w:val="y2iqfc"/>
                <w:rFonts w:ascii="Avenir Next" w:hAnsi="Avenir Next"/>
                <w:color w:val="202124"/>
                <w:sz w:val="20"/>
                <w:szCs w:val="20"/>
                <w:lang w:val="es-ES"/>
              </w:rPr>
              <w:t>vigente para proporcionar información sobre cómo se están abordando y respetando las siete salvaguardas REDD+ de la CMNUCC?</w:t>
            </w:r>
          </w:p>
          <w:p w14:paraId="1BB1B380" w14:textId="77777777" w:rsidR="00AF1271" w:rsidRPr="00AF1271" w:rsidRDefault="00AF1271" w:rsidP="00CE0AF6">
            <w:pPr>
              <w:rPr>
                <w:rFonts w:ascii="Avenir Next" w:hAnsi="Avenir Next"/>
                <w:sz w:val="20"/>
                <w:szCs w:val="20"/>
                <w:lang w:val="es-ES"/>
              </w:rPr>
            </w:pPr>
          </w:p>
        </w:tc>
        <w:tc>
          <w:tcPr>
            <w:tcW w:w="2126" w:type="dxa"/>
          </w:tcPr>
          <w:p w14:paraId="0B40024E" w14:textId="77777777" w:rsidR="00AF1271" w:rsidRPr="00AF1271" w:rsidRDefault="00AF1271" w:rsidP="00CE0AF6">
            <w:pPr>
              <w:rPr>
                <w:rFonts w:ascii="Avenir Next" w:hAnsi="Avenir Next"/>
                <w:sz w:val="20"/>
                <w:szCs w:val="20"/>
                <w:lang w:val="es-ES"/>
              </w:rPr>
            </w:pPr>
          </w:p>
        </w:tc>
        <w:tc>
          <w:tcPr>
            <w:tcW w:w="4360" w:type="dxa"/>
          </w:tcPr>
          <w:p w14:paraId="31A524C8" w14:textId="77777777" w:rsidR="00AF1271" w:rsidRPr="00AF1271" w:rsidRDefault="00AF1271" w:rsidP="00CE0AF6">
            <w:pPr>
              <w:rPr>
                <w:rFonts w:ascii="Avenir Next" w:hAnsi="Avenir Next"/>
                <w:sz w:val="20"/>
                <w:szCs w:val="20"/>
                <w:lang w:val="es-ES"/>
              </w:rPr>
            </w:pPr>
          </w:p>
        </w:tc>
        <w:tc>
          <w:tcPr>
            <w:tcW w:w="3578" w:type="dxa"/>
          </w:tcPr>
          <w:p w14:paraId="2780DA35" w14:textId="77777777" w:rsidR="00AF1271" w:rsidRPr="00AF1271" w:rsidRDefault="00AF1271" w:rsidP="00CE0AF6">
            <w:pPr>
              <w:rPr>
                <w:rFonts w:ascii="Avenir Next" w:hAnsi="Avenir Next"/>
                <w:sz w:val="20"/>
                <w:szCs w:val="20"/>
                <w:lang w:val="es-ES"/>
              </w:rPr>
            </w:pPr>
          </w:p>
        </w:tc>
      </w:tr>
      <w:tr w:rsidR="00AF1271" w:rsidRPr="00AF1271" w14:paraId="5F197F6F" w14:textId="77777777" w:rsidTr="00AF1271">
        <w:tc>
          <w:tcPr>
            <w:tcW w:w="4248" w:type="dxa"/>
          </w:tcPr>
          <w:p w14:paraId="52DA7385"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¿Tiene el SIS (o equivalente) una plataforma web (sitio web/página web) para compartir y difundir información que sea accesible?</w:t>
            </w:r>
          </w:p>
          <w:p w14:paraId="218E92D4" w14:textId="77777777" w:rsidR="00AF1271" w:rsidRPr="00AF1271" w:rsidRDefault="00AF1271" w:rsidP="00CE0AF6">
            <w:pPr>
              <w:pStyle w:val="ListParagraph"/>
              <w:rPr>
                <w:rFonts w:ascii="Avenir Next" w:hAnsi="Avenir Next"/>
                <w:sz w:val="20"/>
                <w:szCs w:val="20"/>
                <w:lang w:val="es-ES"/>
              </w:rPr>
            </w:pPr>
          </w:p>
        </w:tc>
        <w:tc>
          <w:tcPr>
            <w:tcW w:w="2126" w:type="dxa"/>
          </w:tcPr>
          <w:p w14:paraId="75A39CDD" w14:textId="77777777" w:rsidR="00AF1271" w:rsidRPr="00AF1271" w:rsidRDefault="00AF1271" w:rsidP="00CE0AF6">
            <w:pPr>
              <w:rPr>
                <w:rFonts w:ascii="Avenir Next" w:hAnsi="Avenir Next"/>
                <w:sz w:val="20"/>
                <w:szCs w:val="20"/>
                <w:lang w:val="es-ES"/>
              </w:rPr>
            </w:pPr>
          </w:p>
        </w:tc>
        <w:tc>
          <w:tcPr>
            <w:tcW w:w="4360" w:type="dxa"/>
          </w:tcPr>
          <w:p w14:paraId="20C5BFED" w14:textId="77777777" w:rsidR="00AF1271" w:rsidRPr="00AF1271" w:rsidRDefault="00AF1271" w:rsidP="00CE0AF6">
            <w:pPr>
              <w:rPr>
                <w:rFonts w:ascii="Avenir Next" w:hAnsi="Avenir Next"/>
                <w:sz w:val="20"/>
                <w:szCs w:val="20"/>
                <w:lang w:val="es-ES"/>
              </w:rPr>
            </w:pPr>
          </w:p>
        </w:tc>
        <w:tc>
          <w:tcPr>
            <w:tcW w:w="3578" w:type="dxa"/>
          </w:tcPr>
          <w:p w14:paraId="5D60A151" w14:textId="77777777" w:rsidR="00AF1271" w:rsidRPr="00AF1271" w:rsidRDefault="00AF1271" w:rsidP="00CE0AF6">
            <w:pPr>
              <w:rPr>
                <w:rFonts w:ascii="Avenir Next" w:hAnsi="Avenir Next"/>
                <w:sz w:val="20"/>
                <w:szCs w:val="20"/>
                <w:lang w:val="es-ES"/>
              </w:rPr>
            </w:pPr>
          </w:p>
        </w:tc>
      </w:tr>
      <w:tr w:rsidR="00AF1271" w:rsidRPr="00AF1271" w14:paraId="0A93038C" w14:textId="77777777" w:rsidTr="00AF1271">
        <w:tc>
          <w:tcPr>
            <w:tcW w:w="4248" w:type="dxa"/>
          </w:tcPr>
          <w:p w14:paraId="703AAB73"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¿Tiene el SIS (o equivalente) indicadores para informar sobre cómo se están abordando y respetando las siete salvaguardas REDD+ de la CMNUCC?</w:t>
            </w:r>
          </w:p>
          <w:p w14:paraId="15D04AB9" w14:textId="77777777" w:rsidR="00AF1271" w:rsidRPr="00AF1271" w:rsidRDefault="00AF1271" w:rsidP="00CE0AF6">
            <w:pPr>
              <w:pStyle w:val="ListParagraph"/>
              <w:rPr>
                <w:rFonts w:ascii="Avenir Next" w:hAnsi="Avenir Next"/>
                <w:sz w:val="20"/>
                <w:szCs w:val="20"/>
                <w:lang w:val="es-ES"/>
              </w:rPr>
            </w:pPr>
          </w:p>
        </w:tc>
        <w:tc>
          <w:tcPr>
            <w:tcW w:w="2126" w:type="dxa"/>
          </w:tcPr>
          <w:p w14:paraId="72CF5CEB" w14:textId="77777777" w:rsidR="00AF1271" w:rsidRPr="00AF1271" w:rsidRDefault="00AF1271" w:rsidP="00CE0AF6">
            <w:pPr>
              <w:rPr>
                <w:rFonts w:ascii="Avenir Next" w:hAnsi="Avenir Next"/>
                <w:sz w:val="20"/>
                <w:szCs w:val="20"/>
                <w:lang w:val="es-ES"/>
              </w:rPr>
            </w:pPr>
          </w:p>
        </w:tc>
        <w:tc>
          <w:tcPr>
            <w:tcW w:w="4360" w:type="dxa"/>
          </w:tcPr>
          <w:p w14:paraId="182C88AD" w14:textId="77777777" w:rsidR="00AF1271" w:rsidRPr="00AF1271" w:rsidRDefault="00AF1271" w:rsidP="00CE0AF6">
            <w:pPr>
              <w:rPr>
                <w:rFonts w:ascii="Avenir Next" w:hAnsi="Avenir Next"/>
                <w:sz w:val="20"/>
                <w:szCs w:val="20"/>
                <w:lang w:val="es-ES"/>
              </w:rPr>
            </w:pPr>
          </w:p>
        </w:tc>
        <w:tc>
          <w:tcPr>
            <w:tcW w:w="3578" w:type="dxa"/>
          </w:tcPr>
          <w:p w14:paraId="7F841E80" w14:textId="77777777" w:rsidR="00AF1271" w:rsidRPr="00AF1271" w:rsidRDefault="00AF1271" w:rsidP="00CE0AF6">
            <w:pPr>
              <w:rPr>
                <w:rFonts w:ascii="Avenir Next" w:hAnsi="Avenir Next"/>
                <w:sz w:val="20"/>
                <w:szCs w:val="20"/>
                <w:lang w:val="es-ES"/>
              </w:rPr>
            </w:pPr>
          </w:p>
        </w:tc>
      </w:tr>
      <w:tr w:rsidR="00AF1271" w:rsidRPr="00AF1271" w14:paraId="4CF678D7" w14:textId="77777777" w:rsidTr="00AF1271">
        <w:tc>
          <w:tcPr>
            <w:tcW w:w="4248" w:type="dxa"/>
          </w:tcPr>
          <w:p w14:paraId="44FBCCAE"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 xml:space="preserve">¿Tiene el SIS (o equivalente) un documento/marco de diseño que </w:t>
            </w:r>
            <w:r w:rsidRPr="00AF1271">
              <w:rPr>
                <w:rFonts w:ascii="Avenir Next" w:hAnsi="Avenir Next"/>
                <w:sz w:val="20"/>
                <w:szCs w:val="20"/>
                <w:lang w:val="es-ES"/>
              </w:rPr>
              <w:lastRenderedPageBreak/>
              <w:t>establezca los elementos clave de diseño [es decir funciones y disposiciones institucionales del SIS]?</w:t>
            </w:r>
          </w:p>
          <w:p w14:paraId="0AE7F93E" w14:textId="77777777" w:rsidR="00AF1271" w:rsidRPr="00AF1271" w:rsidRDefault="00AF1271" w:rsidP="00CE0AF6">
            <w:pPr>
              <w:pStyle w:val="ListParagraph"/>
              <w:rPr>
                <w:rFonts w:ascii="Avenir Next" w:hAnsi="Avenir Next"/>
                <w:sz w:val="20"/>
                <w:szCs w:val="20"/>
                <w:lang w:val="es-ES"/>
              </w:rPr>
            </w:pPr>
          </w:p>
        </w:tc>
        <w:tc>
          <w:tcPr>
            <w:tcW w:w="2126" w:type="dxa"/>
          </w:tcPr>
          <w:p w14:paraId="005184B0" w14:textId="77777777" w:rsidR="00AF1271" w:rsidRPr="00AF1271" w:rsidRDefault="00AF1271" w:rsidP="00CE0AF6">
            <w:pPr>
              <w:rPr>
                <w:rFonts w:ascii="Avenir Next" w:hAnsi="Avenir Next"/>
                <w:sz w:val="20"/>
                <w:szCs w:val="20"/>
                <w:lang w:val="es-ES"/>
              </w:rPr>
            </w:pPr>
          </w:p>
        </w:tc>
        <w:tc>
          <w:tcPr>
            <w:tcW w:w="4360" w:type="dxa"/>
          </w:tcPr>
          <w:p w14:paraId="525BFA26" w14:textId="77777777" w:rsidR="00AF1271" w:rsidRPr="00AF1271" w:rsidRDefault="00AF1271" w:rsidP="00CE0AF6">
            <w:pPr>
              <w:rPr>
                <w:rFonts w:ascii="Avenir Next" w:hAnsi="Avenir Next"/>
                <w:sz w:val="20"/>
                <w:szCs w:val="20"/>
                <w:lang w:val="es-ES"/>
              </w:rPr>
            </w:pPr>
          </w:p>
        </w:tc>
        <w:tc>
          <w:tcPr>
            <w:tcW w:w="3578" w:type="dxa"/>
          </w:tcPr>
          <w:p w14:paraId="2D987613" w14:textId="77777777" w:rsidR="00AF1271" w:rsidRPr="00AF1271" w:rsidRDefault="00AF1271" w:rsidP="00CE0AF6">
            <w:pPr>
              <w:rPr>
                <w:rFonts w:ascii="Avenir Next" w:hAnsi="Avenir Next"/>
                <w:sz w:val="20"/>
                <w:szCs w:val="20"/>
                <w:lang w:val="es-ES"/>
              </w:rPr>
            </w:pPr>
          </w:p>
        </w:tc>
      </w:tr>
      <w:tr w:rsidR="00AF1271" w:rsidRPr="00AF1271" w14:paraId="10948EA2" w14:textId="77777777" w:rsidTr="00AF1271">
        <w:trPr>
          <w:trHeight w:val="408"/>
        </w:trPr>
        <w:tc>
          <w:tcPr>
            <w:tcW w:w="14312" w:type="dxa"/>
            <w:gridSpan w:val="4"/>
            <w:shd w:val="clear" w:color="auto" w:fill="0E361A"/>
            <w:vAlign w:val="center"/>
          </w:tcPr>
          <w:p w14:paraId="164C84EF" w14:textId="3F25E365" w:rsidR="00AF1271" w:rsidRPr="00AF1271" w:rsidRDefault="00AF1271" w:rsidP="00AF1271">
            <w:pPr>
              <w:rPr>
                <w:rFonts w:ascii="Avenir Next Ultra Light" w:hAnsi="Avenir Next Ultra Light"/>
                <w:b/>
                <w:bCs/>
                <w:lang w:val="es-ES"/>
              </w:rPr>
            </w:pPr>
            <w:r w:rsidRPr="00AF1271">
              <w:rPr>
                <w:rFonts w:ascii="Avenir Next Ultra Light" w:hAnsi="Avenir Next Ultra Light"/>
                <w:b/>
                <w:bCs/>
                <w:lang w:val="es-ES"/>
              </w:rPr>
              <w:t>Arreglos de gobernanza del Programa J-REDD+ que garantizan la aplicación de las salvaguardas REDD+ de la CMNUCC</w:t>
            </w:r>
          </w:p>
        </w:tc>
      </w:tr>
      <w:tr w:rsidR="00AF1271" w:rsidRPr="00AF1271" w14:paraId="0E3A05CC" w14:textId="77777777" w:rsidTr="00AF1271">
        <w:tc>
          <w:tcPr>
            <w:tcW w:w="4248" w:type="dxa"/>
            <w:shd w:val="clear" w:color="auto" w:fill="68807A"/>
            <w:vAlign w:val="center"/>
          </w:tcPr>
          <w:p w14:paraId="2E308D1B"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Criterios</w:t>
            </w:r>
          </w:p>
        </w:tc>
        <w:tc>
          <w:tcPr>
            <w:tcW w:w="2126" w:type="dxa"/>
            <w:shd w:val="clear" w:color="auto" w:fill="68807A"/>
            <w:vAlign w:val="center"/>
          </w:tcPr>
          <w:p w14:paraId="17A21DC0"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Puntuación</w:t>
            </w:r>
          </w:p>
          <w:p w14:paraId="415C1987"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(Si/No/Parcialmente)</w:t>
            </w:r>
          </w:p>
        </w:tc>
        <w:tc>
          <w:tcPr>
            <w:tcW w:w="4360" w:type="dxa"/>
            <w:shd w:val="clear" w:color="auto" w:fill="68807A"/>
            <w:vAlign w:val="center"/>
          </w:tcPr>
          <w:p w14:paraId="054C3487"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Comentarios</w:t>
            </w:r>
          </w:p>
        </w:tc>
        <w:tc>
          <w:tcPr>
            <w:tcW w:w="3578" w:type="dxa"/>
            <w:shd w:val="clear" w:color="auto" w:fill="68807A"/>
            <w:vAlign w:val="center"/>
          </w:tcPr>
          <w:p w14:paraId="5787C268"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Medios de verificación</w:t>
            </w:r>
          </w:p>
        </w:tc>
      </w:tr>
      <w:tr w:rsidR="00AF1271" w:rsidRPr="00AF1271" w14:paraId="694E6389" w14:textId="77777777" w:rsidTr="00AF1271">
        <w:tc>
          <w:tcPr>
            <w:tcW w:w="4248" w:type="dxa"/>
          </w:tcPr>
          <w:p w14:paraId="22D3E49B" w14:textId="7F7274CF" w:rsidR="00AF1271" w:rsidRPr="0005159F" w:rsidRDefault="00AF1271" w:rsidP="0005159F">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¿El programa J-REDD+ ha adoptado un</w:t>
            </w:r>
            <w:r w:rsidR="0005159F">
              <w:rPr>
                <w:rFonts w:ascii="Avenir Next" w:hAnsi="Avenir Next"/>
                <w:sz w:val="20"/>
                <w:szCs w:val="20"/>
                <w:lang w:val="es-ES"/>
              </w:rPr>
              <w:t xml:space="preserve">a </w:t>
            </w:r>
            <w:r w:rsidRPr="00AF1271">
              <w:rPr>
                <w:rFonts w:ascii="Avenir Next" w:hAnsi="Avenir Next"/>
                <w:sz w:val="20"/>
                <w:szCs w:val="20"/>
                <w:lang w:val="es-ES"/>
              </w:rPr>
              <w:t>descripción,</w:t>
            </w:r>
            <w:r w:rsidR="00560DBB">
              <w:rPr>
                <w:rFonts w:ascii="Avenir Next" w:hAnsi="Avenir Next"/>
                <w:sz w:val="20"/>
                <w:szCs w:val="20"/>
                <w:lang w:val="es-ES"/>
              </w:rPr>
              <w:t xml:space="preserve"> </w:t>
            </w:r>
            <w:r w:rsidRPr="00AF1271">
              <w:rPr>
                <w:rFonts w:ascii="Avenir Next" w:hAnsi="Avenir Next"/>
                <w:sz w:val="20"/>
                <w:szCs w:val="20"/>
                <w:lang w:val="es-ES"/>
              </w:rPr>
              <w:t xml:space="preserve">interpretación o </w:t>
            </w:r>
            <w:r w:rsidRPr="0005159F">
              <w:rPr>
                <w:rFonts w:ascii="Avenir Next" w:hAnsi="Avenir Next"/>
                <w:sz w:val="20"/>
                <w:szCs w:val="20"/>
                <w:lang w:val="es-ES"/>
              </w:rPr>
              <w:t>aclaración de las salvaguardas REDD+ de la CMNUCC?</w:t>
            </w:r>
            <w:r w:rsidRPr="00AF1271">
              <w:rPr>
                <w:rStyle w:val="FootnoteReference"/>
                <w:rFonts w:ascii="Avenir Next" w:hAnsi="Avenir Next"/>
                <w:sz w:val="20"/>
                <w:szCs w:val="20"/>
                <w:lang w:val="es-ES"/>
              </w:rPr>
              <w:footnoteReference w:id="2"/>
            </w:r>
            <w:r w:rsidRPr="0005159F">
              <w:rPr>
                <w:rFonts w:ascii="Avenir Next" w:hAnsi="Avenir Next"/>
                <w:sz w:val="20"/>
                <w:szCs w:val="20"/>
                <w:lang w:val="es-ES"/>
              </w:rPr>
              <w:t xml:space="preserve"> </w:t>
            </w:r>
          </w:p>
          <w:p w14:paraId="35F5CFF2" w14:textId="77777777" w:rsidR="00AF1271" w:rsidRPr="00AF1271" w:rsidRDefault="00AF1271" w:rsidP="00CE0AF6">
            <w:pPr>
              <w:rPr>
                <w:rFonts w:ascii="Avenir Next" w:hAnsi="Avenir Next"/>
                <w:sz w:val="20"/>
                <w:szCs w:val="20"/>
                <w:lang w:val="es-ES"/>
              </w:rPr>
            </w:pPr>
          </w:p>
        </w:tc>
        <w:tc>
          <w:tcPr>
            <w:tcW w:w="2126" w:type="dxa"/>
          </w:tcPr>
          <w:p w14:paraId="32375540" w14:textId="77777777" w:rsidR="00AF1271" w:rsidRPr="00AF1271" w:rsidRDefault="00AF1271" w:rsidP="00CE0AF6">
            <w:pPr>
              <w:rPr>
                <w:rFonts w:ascii="Avenir Next" w:hAnsi="Avenir Next"/>
                <w:sz w:val="20"/>
                <w:szCs w:val="20"/>
                <w:lang w:val="es-ES"/>
              </w:rPr>
            </w:pPr>
          </w:p>
        </w:tc>
        <w:tc>
          <w:tcPr>
            <w:tcW w:w="4360" w:type="dxa"/>
          </w:tcPr>
          <w:p w14:paraId="0FCE4607" w14:textId="77777777" w:rsidR="00AF1271" w:rsidRPr="00AF1271" w:rsidRDefault="00AF1271" w:rsidP="00CE0AF6">
            <w:pPr>
              <w:rPr>
                <w:rFonts w:ascii="Avenir Next" w:hAnsi="Avenir Next"/>
                <w:sz w:val="20"/>
                <w:szCs w:val="20"/>
                <w:lang w:val="es-ES"/>
              </w:rPr>
            </w:pPr>
          </w:p>
        </w:tc>
        <w:tc>
          <w:tcPr>
            <w:tcW w:w="3578" w:type="dxa"/>
          </w:tcPr>
          <w:p w14:paraId="776142D9" w14:textId="77777777" w:rsidR="00AF1271" w:rsidRPr="00AF1271" w:rsidRDefault="00AF1271" w:rsidP="00CE0AF6">
            <w:pPr>
              <w:rPr>
                <w:rFonts w:ascii="Avenir Next" w:hAnsi="Avenir Next"/>
                <w:sz w:val="20"/>
                <w:szCs w:val="20"/>
                <w:lang w:val="es-ES"/>
              </w:rPr>
            </w:pPr>
          </w:p>
        </w:tc>
      </w:tr>
      <w:tr w:rsidR="00AF1271" w:rsidRPr="00AF1271" w14:paraId="74A24783" w14:textId="77777777" w:rsidTr="00AF1271">
        <w:tc>
          <w:tcPr>
            <w:tcW w:w="4248" w:type="dxa"/>
          </w:tcPr>
          <w:p w14:paraId="7F4D5D67"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¿El programa J-REDD+ articula “cómo” se aplicarán las salvaguardas REDD+ de la CMNUCC en el contexto de la implementación de las actividades REDD+? [es decir. ¿Existe una identificación y descripción de la legislación, políticas, procedimientos, planes, etc. relevantes?]</w:t>
            </w:r>
            <w:r w:rsidRPr="00AF1271">
              <w:rPr>
                <w:rStyle w:val="FootnoteReference"/>
                <w:rFonts w:ascii="Avenir Next" w:hAnsi="Avenir Next"/>
                <w:sz w:val="20"/>
                <w:szCs w:val="20"/>
                <w:lang w:val="es-ES"/>
              </w:rPr>
              <w:footnoteReference w:id="3"/>
            </w:r>
          </w:p>
          <w:p w14:paraId="56052211" w14:textId="77777777" w:rsidR="00AF1271" w:rsidRPr="00AF1271" w:rsidRDefault="00AF1271" w:rsidP="00CE0AF6">
            <w:pPr>
              <w:rPr>
                <w:rFonts w:ascii="Avenir Next" w:hAnsi="Avenir Next"/>
                <w:sz w:val="20"/>
                <w:szCs w:val="20"/>
                <w:lang w:val="es-ES"/>
              </w:rPr>
            </w:pPr>
          </w:p>
        </w:tc>
        <w:tc>
          <w:tcPr>
            <w:tcW w:w="2126" w:type="dxa"/>
          </w:tcPr>
          <w:p w14:paraId="1DF8C45D" w14:textId="77777777" w:rsidR="00AF1271" w:rsidRPr="00AF1271" w:rsidRDefault="00AF1271" w:rsidP="00CE0AF6">
            <w:pPr>
              <w:rPr>
                <w:rFonts w:ascii="Avenir Next" w:hAnsi="Avenir Next"/>
                <w:sz w:val="20"/>
                <w:szCs w:val="20"/>
                <w:lang w:val="es-ES"/>
              </w:rPr>
            </w:pPr>
          </w:p>
        </w:tc>
        <w:tc>
          <w:tcPr>
            <w:tcW w:w="4360" w:type="dxa"/>
          </w:tcPr>
          <w:p w14:paraId="6B91E39F" w14:textId="77777777" w:rsidR="00AF1271" w:rsidRPr="00AF1271" w:rsidRDefault="00AF1271" w:rsidP="00CE0AF6">
            <w:pPr>
              <w:rPr>
                <w:rFonts w:ascii="Avenir Next" w:hAnsi="Avenir Next"/>
                <w:sz w:val="20"/>
                <w:szCs w:val="20"/>
                <w:lang w:val="es-ES"/>
              </w:rPr>
            </w:pPr>
          </w:p>
        </w:tc>
        <w:tc>
          <w:tcPr>
            <w:tcW w:w="3578" w:type="dxa"/>
          </w:tcPr>
          <w:p w14:paraId="56D641AC" w14:textId="77777777" w:rsidR="00AF1271" w:rsidRPr="00AF1271" w:rsidRDefault="00AF1271" w:rsidP="00CE0AF6">
            <w:pPr>
              <w:rPr>
                <w:rFonts w:ascii="Avenir Next" w:hAnsi="Avenir Next"/>
                <w:sz w:val="20"/>
                <w:szCs w:val="20"/>
                <w:lang w:val="es-ES"/>
              </w:rPr>
            </w:pPr>
          </w:p>
        </w:tc>
      </w:tr>
      <w:tr w:rsidR="00AF1271" w:rsidRPr="00AF1271" w14:paraId="44A38A5B" w14:textId="77777777" w:rsidTr="00AF1271">
        <w:tc>
          <w:tcPr>
            <w:tcW w:w="4248" w:type="dxa"/>
          </w:tcPr>
          <w:p w14:paraId="109E593D"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 xml:space="preserve">¿El programa J-REDD+ articula “quién” será responsable de la aplicación de las salvaguardas REDD+ de la CMNUCC en el </w:t>
            </w:r>
            <w:r w:rsidRPr="00AF1271">
              <w:rPr>
                <w:rFonts w:ascii="Avenir Next" w:hAnsi="Avenir Next"/>
                <w:sz w:val="20"/>
                <w:szCs w:val="20"/>
                <w:lang w:val="es-ES"/>
              </w:rPr>
              <w:lastRenderedPageBreak/>
              <w:t>contexto de la implementación de las actividades REDD+? [es decir una descripción de las instituciones y partes interesadas responsables]</w:t>
            </w:r>
          </w:p>
          <w:p w14:paraId="25D23B2D" w14:textId="77777777" w:rsidR="00AF1271" w:rsidRPr="00AF1271" w:rsidRDefault="00AF1271" w:rsidP="00CE0AF6">
            <w:pPr>
              <w:pStyle w:val="ListParagraph"/>
              <w:rPr>
                <w:rFonts w:ascii="Avenir Next" w:hAnsi="Avenir Next"/>
                <w:sz w:val="20"/>
                <w:szCs w:val="20"/>
                <w:lang w:val="es-ES"/>
              </w:rPr>
            </w:pPr>
          </w:p>
        </w:tc>
        <w:tc>
          <w:tcPr>
            <w:tcW w:w="2126" w:type="dxa"/>
          </w:tcPr>
          <w:p w14:paraId="0D34E1CD" w14:textId="77777777" w:rsidR="00AF1271" w:rsidRPr="00AF1271" w:rsidRDefault="00AF1271" w:rsidP="00CE0AF6">
            <w:pPr>
              <w:rPr>
                <w:rFonts w:ascii="Avenir Next" w:hAnsi="Avenir Next"/>
                <w:sz w:val="20"/>
                <w:szCs w:val="20"/>
                <w:lang w:val="es-ES"/>
              </w:rPr>
            </w:pPr>
          </w:p>
        </w:tc>
        <w:tc>
          <w:tcPr>
            <w:tcW w:w="4360" w:type="dxa"/>
          </w:tcPr>
          <w:p w14:paraId="40C72EA5" w14:textId="77777777" w:rsidR="00AF1271" w:rsidRPr="00AF1271" w:rsidRDefault="00AF1271" w:rsidP="00CE0AF6">
            <w:pPr>
              <w:rPr>
                <w:rFonts w:ascii="Avenir Next" w:hAnsi="Avenir Next"/>
                <w:sz w:val="20"/>
                <w:szCs w:val="20"/>
                <w:lang w:val="es-ES"/>
              </w:rPr>
            </w:pPr>
          </w:p>
        </w:tc>
        <w:tc>
          <w:tcPr>
            <w:tcW w:w="3578" w:type="dxa"/>
          </w:tcPr>
          <w:p w14:paraId="34553A1F" w14:textId="77777777" w:rsidR="00AF1271" w:rsidRPr="00AF1271" w:rsidRDefault="00AF1271" w:rsidP="00CE0AF6">
            <w:pPr>
              <w:rPr>
                <w:rFonts w:ascii="Avenir Next" w:hAnsi="Avenir Next"/>
                <w:sz w:val="20"/>
                <w:szCs w:val="20"/>
                <w:lang w:val="es-ES"/>
              </w:rPr>
            </w:pPr>
          </w:p>
        </w:tc>
      </w:tr>
      <w:tr w:rsidR="00AF1271" w:rsidRPr="00AF1271" w14:paraId="1AE7C5E3" w14:textId="77777777" w:rsidTr="00AF1271">
        <w:tc>
          <w:tcPr>
            <w:tcW w:w="4248" w:type="dxa"/>
          </w:tcPr>
          <w:p w14:paraId="50FFAFC1"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¿Se ha sometido el programa J-REDD+ a una evaluación ambiental y social estratégica (SESA) y ha adoptado un marco de gestión ambiental y social (MGAS) específico en respuesta?</w:t>
            </w:r>
          </w:p>
          <w:p w14:paraId="7C067220" w14:textId="77777777" w:rsidR="00AF1271" w:rsidRPr="00AF1271" w:rsidRDefault="00AF1271" w:rsidP="00CE0AF6">
            <w:pPr>
              <w:pStyle w:val="ListParagraph"/>
              <w:rPr>
                <w:rFonts w:ascii="Avenir Next" w:hAnsi="Avenir Next"/>
                <w:sz w:val="20"/>
                <w:szCs w:val="20"/>
                <w:lang w:val="es-ES"/>
              </w:rPr>
            </w:pPr>
          </w:p>
        </w:tc>
        <w:tc>
          <w:tcPr>
            <w:tcW w:w="2126" w:type="dxa"/>
          </w:tcPr>
          <w:p w14:paraId="1E552EDD" w14:textId="77777777" w:rsidR="00AF1271" w:rsidRPr="00AF1271" w:rsidRDefault="00AF1271" w:rsidP="00CE0AF6">
            <w:pPr>
              <w:rPr>
                <w:rFonts w:ascii="Avenir Next" w:hAnsi="Avenir Next"/>
                <w:sz w:val="20"/>
                <w:szCs w:val="20"/>
                <w:lang w:val="es-ES"/>
              </w:rPr>
            </w:pPr>
          </w:p>
        </w:tc>
        <w:tc>
          <w:tcPr>
            <w:tcW w:w="4360" w:type="dxa"/>
          </w:tcPr>
          <w:p w14:paraId="44F383B7" w14:textId="77777777" w:rsidR="00AF1271" w:rsidRPr="00AF1271" w:rsidRDefault="00AF1271" w:rsidP="00CE0AF6">
            <w:pPr>
              <w:rPr>
                <w:rFonts w:ascii="Avenir Next" w:hAnsi="Avenir Next"/>
                <w:sz w:val="20"/>
                <w:szCs w:val="20"/>
                <w:lang w:val="es-ES"/>
              </w:rPr>
            </w:pPr>
          </w:p>
        </w:tc>
        <w:tc>
          <w:tcPr>
            <w:tcW w:w="3578" w:type="dxa"/>
          </w:tcPr>
          <w:p w14:paraId="4D10DC7F" w14:textId="77777777" w:rsidR="00AF1271" w:rsidRPr="00AF1271" w:rsidRDefault="00AF1271" w:rsidP="00CE0AF6">
            <w:pPr>
              <w:rPr>
                <w:rFonts w:ascii="Avenir Next" w:hAnsi="Avenir Next"/>
                <w:sz w:val="20"/>
                <w:szCs w:val="20"/>
                <w:lang w:val="es-ES"/>
              </w:rPr>
            </w:pPr>
          </w:p>
        </w:tc>
      </w:tr>
      <w:tr w:rsidR="00AF1271" w:rsidRPr="00AF1271" w14:paraId="0E7BBB96" w14:textId="77777777" w:rsidTr="00AF1271">
        <w:tc>
          <w:tcPr>
            <w:tcW w:w="14312" w:type="dxa"/>
            <w:gridSpan w:val="4"/>
            <w:shd w:val="clear" w:color="auto" w:fill="0E361A"/>
          </w:tcPr>
          <w:p w14:paraId="22B82BF9" w14:textId="5F10140C" w:rsidR="00AF1271" w:rsidRPr="00AF1271" w:rsidRDefault="00AF1271" w:rsidP="00CE0AF6">
            <w:pPr>
              <w:rPr>
                <w:rFonts w:ascii="Avenir Next Ultra Light" w:hAnsi="Avenir Next Ultra Light"/>
                <w:b/>
                <w:bCs/>
                <w:lang w:val="es-ES"/>
              </w:rPr>
            </w:pPr>
            <w:r w:rsidRPr="00AF1271">
              <w:rPr>
                <w:rFonts w:ascii="Avenir Next Ultra Light" w:hAnsi="Avenir Next Ultra Light"/>
                <w:b/>
                <w:bCs/>
                <w:lang w:val="es-ES"/>
              </w:rPr>
              <w:t>Plan o Sistema de Distribución de Ingresos</w:t>
            </w:r>
          </w:p>
        </w:tc>
      </w:tr>
      <w:tr w:rsidR="00AF1271" w:rsidRPr="00AF1271" w14:paraId="40675E3D" w14:textId="77777777" w:rsidTr="00AF1271">
        <w:tc>
          <w:tcPr>
            <w:tcW w:w="4248" w:type="dxa"/>
            <w:shd w:val="clear" w:color="auto" w:fill="68807A"/>
            <w:vAlign w:val="center"/>
          </w:tcPr>
          <w:p w14:paraId="3BD831F3"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Criterios</w:t>
            </w:r>
          </w:p>
        </w:tc>
        <w:tc>
          <w:tcPr>
            <w:tcW w:w="2126" w:type="dxa"/>
            <w:shd w:val="clear" w:color="auto" w:fill="68807A"/>
            <w:vAlign w:val="center"/>
          </w:tcPr>
          <w:p w14:paraId="7001038D"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Puntuación</w:t>
            </w:r>
          </w:p>
          <w:p w14:paraId="71F234FA"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(Sí/No/Parcialmente)</w:t>
            </w:r>
          </w:p>
        </w:tc>
        <w:tc>
          <w:tcPr>
            <w:tcW w:w="4360" w:type="dxa"/>
            <w:shd w:val="clear" w:color="auto" w:fill="68807A"/>
            <w:vAlign w:val="center"/>
          </w:tcPr>
          <w:p w14:paraId="73E7454A"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Comentarios</w:t>
            </w:r>
          </w:p>
        </w:tc>
        <w:tc>
          <w:tcPr>
            <w:tcW w:w="3578" w:type="dxa"/>
            <w:shd w:val="clear" w:color="auto" w:fill="68807A"/>
            <w:vAlign w:val="center"/>
          </w:tcPr>
          <w:p w14:paraId="0A5A2C6F"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Medios de verificación</w:t>
            </w:r>
          </w:p>
        </w:tc>
      </w:tr>
      <w:tr w:rsidR="00AF1271" w:rsidRPr="00AF1271" w14:paraId="5A9B914B" w14:textId="77777777" w:rsidTr="00AF1271">
        <w:tc>
          <w:tcPr>
            <w:tcW w:w="4248" w:type="dxa"/>
          </w:tcPr>
          <w:p w14:paraId="38F3C9AF" w14:textId="08C87907" w:rsidR="00AF1271" w:rsidRPr="00560DBB" w:rsidRDefault="00AF1271" w:rsidP="00560DBB">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 xml:space="preserve">¿El programa J-REDD+ cuenta con un plan o sistema de incentivos o distribución de ingresos aplicable al alcance de las acciones relevantes de </w:t>
            </w:r>
            <w:r w:rsidRPr="00560DBB">
              <w:rPr>
                <w:rFonts w:ascii="Avenir Next" w:hAnsi="Avenir Next"/>
                <w:sz w:val="20"/>
                <w:szCs w:val="20"/>
                <w:lang w:val="es-ES"/>
              </w:rPr>
              <w:t>J-REDD+?</w:t>
            </w:r>
            <w:r w:rsidRPr="00AF1271">
              <w:rPr>
                <w:rStyle w:val="FootnoteReference"/>
                <w:rFonts w:ascii="Avenir Next" w:hAnsi="Avenir Next"/>
                <w:sz w:val="20"/>
                <w:szCs w:val="20"/>
                <w:lang w:val="es-ES"/>
              </w:rPr>
              <w:footnoteReference w:id="4"/>
            </w:r>
          </w:p>
          <w:p w14:paraId="7B8CFE43" w14:textId="77777777" w:rsidR="00AF1271" w:rsidRPr="00AF1271" w:rsidRDefault="00AF1271" w:rsidP="00CE0AF6">
            <w:pPr>
              <w:pStyle w:val="ListParagraph"/>
              <w:rPr>
                <w:rFonts w:ascii="Avenir Next" w:hAnsi="Avenir Next"/>
                <w:sz w:val="20"/>
                <w:szCs w:val="20"/>
                <w:lang w:val="es-ES"/>
              </w:rPr>
            </w:pPr>
          </w:p>
        </w:tc>
        <w:tc>
          <w:tcPr>
            <w:tcW w:w="2126" w:type="dxa"/>
          </w:tcPr>
          <w:p w14:paraId="6B033950" w14:textId="77777777" w:rsidR="00AF1271" w:rsidRPr="00AF1271" w:rsidRDefault="00AF1271" w:rsidP="00CE0AF6">
            <w:pPr>
              <w:rPr>
                <w:rFonts w:ascii="Avenir Next" w:hAnsi="Avenir Next"/>
                <w:sz w:val="20"/>
                <w:szCs w:val="20"/>
                <w:lang w:val="es-ES"/>
              </w:rPr>
            </w:pPr>
          </w:p>
        </w:tc>
        <w:tc>
          <w:tcPr>
            <w:tcW w:w="4360" w:type="dxa"/>
          </w:tcPr>
          <w:p w14:paraId="75BA9E55" w14:textId="77777777" w:rsidR="00AF1271" w:rsidRPr="00AF1271" w:rsidRDefault="00AF1271" w:rsidP="00CE0AF6">
            <w:pPr>
              <w:rPr>
                <w:rFonts w:ascii="Avenir Next" w:hAnsi="Avenir Next"/>
                <w:sz w:val="20"/>
                <w:szCs w:val="20"/>
                <w:lang w:val="es-ES"/>
              </w:rPr>
            </w:pPr>
          </w:p>
        </w:tc>
        <w:tc>
          <w:tcPr>
            <w:tcW w:w="3578" w:type="dxa"/>
          </w:tcPr>
          <w:p w14:paraId="13590EDB" w14:textId="77777777" w:rsidR="00AF1271" w:rsidRPr="00AF1271" w:rsidRDefault="00AF1271" w:rsidP="00CE0AF6">
            <w:pPr>
              <w:rPr>
                <w:rFonts w:ascii="Avenir Next" w:hAnsi="Avenir Next"/>
                <w:sz w:val="20"/>
                <w:szCs w:val="20"/>
                <w:lang w:val="es-ES"/>
              </w:rPr>
            </w:pPr>
          </w:p>
        </w:tc>
      </w:tr>
      <w:tr w:rsidR="00AF1271" w:rsidRPr="00AF1271" w14:paraId="6A751E7F" w14:textId="77777777" w:rsidTr="00AF1271">
        <w:tc>
          <w:tcPr>
            <w:tcW w:w="4248" w:type="dxa"/>
          </w:tcPr>
          <w:p w14:paraId="1D21CAC2"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 xml:space="preserve">¿El programa J-REDD+ articula “cómo” se aplicaría el incentivo o la distribución de ingresos a las actividades relevantes del programa J-REDD+? [es decir, el proceso de distribución de los beneficios, incluido cómo fluirán los fondos desde la institución que recibe los pagos ERPA hasta los </w:t>
            </w:r>
            <w:r w:rsidRPr="00AF1271">
              <w:rPr>
                <w:rFonts w:ascii="Avenir Next" w:hAnsi="Avenir Next"/>
                <w:sz w:val="20"/>
                <w:szCs w:val="20"/>
                <w:lang w:val="es-ES"/>
              </w:rPr>
              <w:lastRenderedPageBreak/>
              <w:t>beneficiarios finales.]</w:t>
            </w:r>
          </w:p>
        </w:tc>
        <w:tc>
          <w:tcPr>
            <w:tcW w:w="2126" w:type="dxa"/>
          </w:tcPr>
          <w:p w14:paraId="346C2628" w14:textId="77777777" w:rsidR="00AF1271" w:rsidRPr="00AF1271" w:rsidRDefault="00AF1271" w:rsidP="00CE0AF6">
            <w:pPr>
              <w:rPr>
                <w:rFonts w:ascii="Avenir Next" w:hAnsi="Avenir Next"/>
                <w:sz w:val="20"/>
                <w:szCs w:val="20"/>
                <w:lang w:val="es-ES"/>
              </w:rPr>
            </w:pPr>
          </w:p>
        </w:tc>
        <w:tc>
          <w:tcPr>
            <w:tcW w:w="4360" w:type="dxa"/>
          </w:tcPr>
          <w:p w14:paraId="3400906B" w14:textId="77777777" w:rsidR="00AF1271" w:rsidRPr="00AF1271" w:rsidRDefault="00AF1271" w:rsidP="00CE0AF6">
            <w:pPr>
              <w:rPr>
                <w:rFonts w:ascii="Avenir Next" w:hAnsi="Avenir Next"/>
                <w:sz w:val="20"/>
                <w:szCs w:val="20"/>
                <w:lang w:val="es-ES"/>
              </w:rPr>
            </w:pPr>
          </w:p>
        </w:tc>
        <w:tc>
          <w:tcPr>
            <w:tcW w:w="3578" w:type="dxa"/>
          </w:tcPr>
          <w:p w14:paraId="14B12214" w14:textId="77777777" w:rsidR="00AF1271" w:rsidRPr="00AF1271" w:rsidRDefault="00AF1271" w:rsidP="00CE0AF6">
            <w:pPr>
              <w:rPr>
                <w:rFonts w:ascii="Avenir Next" w:hAnsi="Avenir Next"/>
                <w:sz w:val="20"/>
                <w:szCs w:val="20"/>
                <w:lang w:val="es-ES"/>
              </w:rPr>
            </w:pPr>
          </w:p>
        </w:tc>
      </w:tr>
      <w:tr w:rsidR="00AF1271" w:rsidRPr="00AF1271" w14:paraId="4EE439BB" w14:textId="77777777" w:rsidTr="00AF1271">
        <w:tc>
          <w:tcPr>
            <w:tcW w:w="4248" w:type="dxa"/>
          </w:tcPr>
          <w:p w14:paraId="2A1FE80C"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¿El programa J-REDD+ articula quién será responsable del incentivo o la distribución de ingresos en el contexto de la implementación de las actividades REDD+ relevantes? [es decir, instituciones o arreglos institucionales vigentes]</w:t>
            </w:r>
          </w:p>
        </w:tc>
        <w:tc>
          <w:tcPr>
            <w:tcW w:w="2126" w:type="dxa"/>
          </w:tcPr>
          <w:p w14:paraId="2515DC25" w14:textId="77777777" w:rsidR="00AF1271" w:rsidRPr="00AF1271" w:rsidRDefault="00AF1271" w:rsidP="00CE0AF6">
            <w:pPr>
              <w:rPr>
                <w:rFonts w:ascii="Avenir Next" w:hAnsi="Avenir Next"/>
                <w:sz w:val="20"/>
                <w:szCs w:val="20"/>
                <w:lang w:val="es-ES"/>
              </w:rPr>
            </w:pPr>
          </w:p>
        </w:tc>
        <w:tc>
          <w:tcPr>
            <w:tcW w:w="4360" w:type="dxa"/>
          </w:tcPr>
          <w:p w14:paraId="52AB2B5E" w14:textId="77777777" w:rsidR="00AF1271" w:rsidRPr="00AF1271" w:rsidRDefault="00AF1271" w:rsidP="00CE0AF6">
            <w:pPr>
              <w:rPr>
                <w:rFonts w:ascii="Avenir Next" w:hAnsi="Avenir Next"/>
                <w:sz w:val="20"/>
                <w:szCs w:val="20"/>
                <w:lang w:val="es-ES"/>
              </w:rPr>
            </w:pPr>
          </w:p>
        </w:tc>
        <w:tc>
          <w:tcPr>
            <w:tcW w:w="3578" w:type="dxa"/>
          </w:tcPr>
          <w:p w14:paraId="0BAB8A45" w14:textId="77777777" w:rsidR="00AF1271" w:rsidRPr="00AF1271" w:rsidRDefault="00AF1271" w:rsidP="00CE0AF6">
            <w:pPr>
              <w:rPr>
                <w:rFonts w:ascii="Avenir Next" w:hAnsi="Avenir Next"/>
                <w:sz w:val="20"/>
                <w:szCs w:val="20"/>
                <w:lang w:val="es-ES"/>
              </w:rPr>
            </w:pPr>
          </w:p>
        </w:tc>
      </w:tr>
      <w:tr w:rsidR="00AF1271" w:rsidRPr="00AF1271" w14:paraId="4AC76D01" w14:textId="77777777" w:rsidTr="00AF1271">
        <w:tc>
          <w:tcPr>
            <w:tcW w:w="4248" w:type="dxa"/>
          </w:tcPr>
          <w:p w14:paraId="24878B69"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¿El programa J-REDD+ articula quiénes son los beneficiarios de las actividades de los programas J-REDD+?</w:t>
            </w:r>
          </w:p>
          <w:p w14:paraId="7EFBF1C4" w14:textId="77777777" w:rsidR="00AF1271" w:rsidRPr="00AF1271" w:rsidRDefault="00AF1271" w:rsidP="00CE0AF6">
            <w:pPr>
              <w:pStyle w:val="ListParagraph"/>
              <w:ind w:left="0"/>
              <w:rPr>
                <w:rFonts w:ascii="Avenir Next" w:hAnsi="Avenir Next"/>
                <w:sz w:val="20"/>
                <w:szCs w:val="20"/>
                <w:lang w:val="es-ES"/>
              </w:rPr>
            </w:pPr>
          </w:p>
        </w:tc>
        <w:tc>
          <w:tcPr>
            <w:tcW w:w="2126" w:type="dxa"/>
          </w:tcPr>
          <w:p w14:paraId="2276D601" w14:textId="77777777" w:rsidR="00AF1271" w:rsidRPr="00AF1271" w:rsidRDefault="00AF1271" w:rsidP="00CE0AF6">
            <w:pPr>
              <w:rPr>
                <w:rFonts w:ascii="Avenir Next" w:hAnsi="Avenir Next"/>
                <w:sz w:val="20"/>
                <w:szCs w:val="20"/>
                <w:lang w:val="es-ES"/>
              </w:rPr>
            </w:pPr>
          </w:p>
        </w:tc>
        <w:tc>
          <w:tcPr>
            <w:tcW w:w="4360" w:type="dxa"/>
          </w:tcPr>
          <w:p w14:paraId="43FCAA1F" w14:textId="77777777" w:rsidR="00AF1271" w:rsidRPr="00AF1271" w:rsidRDefault="00AF1271" w:rsidP="00CE0AF6">
            <w:pPr>
              <w:rPr>
                <w:rFonts w:ascii="Avenir Next" w:hAnsi="Avenir Next"/>
                <w:sz w:val="20"/>
                <w:szCs w:val="20"/>
                <w:lang w:val="es-ES"/>
              </w:rPr>
            </w:pPr>
          </w:p>
        </w:tc>
        <w:tc>
          <w:tcPr>
            <w:tcW w:w="3578" w:type="dxa"/>
          </w:tcPr>
          <w:p w14:paraId="4F174539" w14:textId="77777777" w:rsidR="00AF1271" w:rsidRPr="00AF1271" w:rsidRDefault="00AF1271" w:rsidP="00CE0AF6">
            <w:pPr>
              <w:rPr>
                <w:rFonts w:ascii="Avenir Next" w:hAnsi="Avenir Next"/>
                <w:sz w:val="20"/>
                <w:szCs w:val="20"/>
                <w:lang w:val="es-ES"/>
              </w:rPr>
            </w:pPr>
          </w:p>
        </w:tc>
      </w:tr>
      <w:tr w:rsidR="00AF1271" w:rsidRPr="00AF1271" w14:paraId="5B4DB14F" w14:textId="77777777" w:rsidTr="00AF1271">
        <w:tc>
          <w:tcPr>
            <w:tcW w:w="4248" w:type="dxa"/>
          </w:tcPr>
          <w:p w14:paraId="5FAD9C46"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¿El programa J-REDD+ articula la forma de incentivos o beneficios que se brindan a través del plan o sistema de distribución?</w:t>
            </w:r>
          </w:p>
          <w:p w14:paraId="22510C43" w14:textId="77777777" w:rsidR="00AF1271" w:rsidRPr="00AF1271" w:rsidRDefault="00AF1271" w:rsidP="00CE0AF6">
            <w:pPr>
              <w:pStyle w:val="ListParagraph"/>
              <w:rPr>
                <w:rFonts w:ascii="Avenir Next" w:hAnsi="Avenir Next"/>
                <w:sz w:val="20"/>
                <w:szCs w:val="20"/>
                <w:lang w:val="es-ES"/>
              </w:rPr>
            </w:pPr>
          </w:p>
        </w:tc>
        <w:tc>
          <w:tcPr>
            <w:tcW w:w="2126" w:type="dxa"/>
          </w:tcPr>
          <w:p w14:paraId="1A503039" w14:textId="77777777" w:rsidR="00AF1271" w:rsidRPr="00AF1271" w:rsidRDefault="00AF1271" w:rsidP="00CE0AF6">
            <w:pPr>
              <w:rPr>
                <w:rFonts w:ascii="Avenir Next" w:hAnsi="Avenir Next"/>
                <w:sz w:val="20"/>
                <w:szCs w:val="20"/>
                <w:lang w:val="es-ES"/>
              </w:rPr>
            </w:pPr>
          </w:p>
        </w:tc>
        <w:tc>
          <w:tcPr>
            <w:tcW w:w="4360" w:type="dxa"/>
          </w:tcPr>
          <w:p w14:paraId="1156B1EF" w14:textId="77777777" w:rsidR="00AF1271" w:rsidRPr="00AF1271" w:rsidRDefault="00AF1271" w:rsidP="00CE0AF6">
            <w:pPr>
              <w:rPr>
                <w:rFonts w:ascii="Avenir Next" w:hAnsi="Avenir Next"/>
                <w:sz w:val="20"/>
                <w:szCs w:val="20"/>
                <w:lang w:val="es-ES"/>
              </w:rPr>
            </w:pPr>
          </w:p>
        </w:tc>
        <w:tc>
          <w:tcPr>
            <w:tcW w:w="3578" w:type="dxa"/>
          </w:tcPr>
          <w:p w14:paraId="45F4CC48" w14:textId="77777777" w:rsidR="00AF1271" w:rsidRPr="00AF1271" w:rsidRDefault="00AF1271" w:rsidP="00CE0AF6">
            <w:pPr>
              <w:rPr>
                <w:rFonts w:ascii="Avenir Next" w:hAnsi="Avenir Next"/>
                <w:sz w:val="20"/>
                <w:szCs w:val="20"/>
                <w:lang w:val="es-ES"/>
              </w:rPr>
            </w:pPr>
          </w:p>
        </w:tc>
      </w:tr>
      <w:tr w:rsidR="00AF1271" w:rsidRPr="00AF1271" w14:paraId="0970CBD8" w14:textId="77777777" w:rsidTr="00AF1271">
        <w:tc>
          <w:tcPr>
            <w:tcW w:w="14312" w:type="dxa"/>
            <w:gridSpan w:val="4"/>
            <w:shd w:val="clear" w:color="auto" w:fill="0E361A"/>
          </w:tcPr>
          <w:p w14:paraId="38F77C85" w14:textId="6AB9DD7D" w:rsidR="00AF1271" w:rsidRPr="00AF1271" w:rsidRDefault="00AF1271" w:rsidP="00AF1271">
            <w:pPr>
              <w:pStyle w:val="ListParagraph"/>
              <w:ind w:left="0"/>
              <w:rPr>
                <w:rFonts w:ascii="Avenir Next Ultra Light" w:hAnsi="Avenir Next Ultra Light"/>
                <w:b/>
                <w:bCs/>
                <w:lang w:val="es-ES"/>
              </w:rPr>
            </w:pPr>
            <w:r w:rsidRPr="00AF1271">
              <w:rPr>
                <w:rFonts w:ascii="Avenir Next Ultra Light" w:hAnsi="Avenir Next Ultra Light"/>
                <w:b/>
                <w:bCs/>
                <w:lang w:val="es-ES"/>
              </w:rPr>
              <w:t xml:space="preserve">Mecanismo(s) de </w:t>
            </w:r>
            <w:r w:rsidR="00763585">
              <w:rPr>
                <w:rFonts w:ascii="Avenir Next Ultra Light" w:hAnsi="Avenir Next Ultra Light"/>
                <w:b/>
                <w:bCs/>
                <w:lang w:val="es-ES"/>
              </w:rPr>
              <w:t>reparación de quejas</w:t>
            </w:r>
            <w:r w:rsidRPr="00AF1271">
              <w:rPr>
                <w:rFonts w:ascii="Avenir Next Ultra Light" w:hAnsi="Avenir Next Ultra Light"/>
                <w:b/>
                <w:bCs/>
                <w:lang w:val="es-ES"/>
              </w:rPr>
              <w:t xml:space="preserve"> (GRM)s</w:t>
            </w:r>
          </w:p>
        </w:tc>
      </w:tr>
      <w:tr w:rsidR="00AF1271" w:rsidRPr="00AF1271" w14:paraId="7F00EF01" w14:textId="77777777" w:rsidTr="00AF1271">
        <w:tc>
          <w:tcPr>
            <w:tcW w:w="4248" w:type="dxa"/>
            <w:shd w:val="clear" w:color="auto" w:fill="68807A"/>
            <w:vAlign w:val="center"/>
          </w:tcPr>
          <w:p w14:paraId="4748C28F"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Criterios</w:t>
            </w:r>
          </w:p>
        </w:tc>
        <w:tc>
          <w:tcPr>
            <w:tcW w:w="2126" w:type="dxa"/>
            <w:shd w:val="clear" w:color="auto" w:fill="68807A"/>
            <w:vAlign w:val="center"/>
          </w:tcPr>
          <w:p w14:paraId="4D5CBE6A"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Puntuación</w:t>
            </w:r>
          </w:p>
          <w:p w14:paraId="7A01D9DF"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(Si/No/Parcialmente)</w:t>
            </w:r>
          </w:p>
        </w:tc>
        <w:tc>
          <w:tcPr>
            <w:tcW w:w="4360" w:type="dxa"/>
            <w:shd w:val="clear" w:color="auto" w:fill="68807A"/>
            <w:vAlign w:val="center"/>
          </w:tcPr>
          <w:p w14:paraId="34103966"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Comentarios</w:t>
            </w:r>
          </w:p>
        </w:tc>
        <w:tc>
          <w:tcPr>
            <w:tcW w:w="3578" w:type="dxa"/>
            <w:shd w:val="clear" w:color="auto" w:fill="68807A"/>
            <w:vAlign w:val="center"/>
          </w:tcPr>
          <w:p w14:paraId="6D76BB6B"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Medios de verificación</w:t>
            </w:r>
          </w:p>
        </w:tc>
      </w:tr>
      <w:tr w:rsidR="00AF1271" w:rsidRPr="00AF1271" w14:paraId="3C2BB6C8" w14:textId="77777777" w:rsidTr="00AF1271">
        <w:tc>
          <w:tcPr>
            <w:tcW w:w="4248" w:type="dxa"/>
          </w:tcPr>
          <w:p w14:paraId="61DDF239"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¿El programa J-REDD+ ha identificado GRM aplicables al alcance del programa J-REDD+?</w:t>
            </w:r>
            <w:r w:rsidRPr="00AF1271">
              <w:rPr>
                <w:rStyle w:val="FootnoteReference"/>
                <w:rFonts w:ascii="Avenir Next" w:hAnsi="Avenir Next"/>
                <w:sz w:val="20"/>
                <w:szCs w:val="20"/>
                <w:lang w:val="es-ES"/>
              </w:rPr>
              <w:footnoteReference w:id="5"/>
            </w:r>
          </w:p>
          <w:p w14:paraId="1AA24E19" w14:textId="77777777" w:rsidR="00AF1271" w:rsidRPr="00AF1271" w:rsidRDefault="00AF1271" w:rsidP="00CE0AF6">
            <w:pPr>
              <w:pStyle w:val="ListParagraph"/>
              <w:rPr>
                <w:rFonts w:ascii="Avenir Next" w:hAnsi="Avenir Next"/>
                <w:sz w:val="20"/>
                <w:szCs w:val="20"/>
                <w:lang w:val="es-ES"/>
              </w:rPr>
            </w:pPr>
          </w:p>
        </w:tc>
        <w:tc>
          <w:tcPr>
            <w:tcW w:w="2126" w:type="dxa"/>
          </w:tcPr>
          <w:p w14:paraId="5F9AE34E" w14:textId="77777777" w:rsidR="00AF1271" w:rsidRPr="00AF1271" w:rsidRDefault="00AF1271" w:rsidP="00CE0AF6">
            <w:pPr>
              <w:rPr>
                <w:rFonts w:ascii="Avenir Next" w:hAnsi="Avenir Next"/>
                <w:sz w:val="20"/>
                <w:szCs w:val="20"/>
                <w:lang w:val="es-ES"/>
              </w:rPr>
            </w:pPr>
          </w:p>
        </w:tc>
        <w:tc>
          <w:tcPr>
            <w:tcW w:w="4360" w:type="dxa"/>
          </w:tcPr>
          <w:p w14:paraId="540F1973" w14:textId="77777777" w:rsidR="00AF1271" w:rsidRPr="00AF1271" w:rsidRDefault="00AF1271" w:rsidP="00CE0AF6">
            <w:pPr>
              <w:rPr>
                <w:rFonts w:ascii="Avenir Next" w:hAnsi="Avenir Next"/>
                <w:sz w:val="20"/>
                <w:szCs w:val="20"/>
                <w:lang w:val="es-ES"/>
              </w:rPr>
            </w:pPr>
          </w:p>
        </w:tc>
        <w:tc>
          <w:tcPr>
            <w:tcW w:w="3578" w:type="dxa"/>
          </w:tcPr>
          <w:p w14:paraId="6250431E" w14:textId="77777777" w:rsidR="00AF1271" w:rsidRPr="00AF1271" w:rsidRDefault="00AF1271" w:rsidP="00CE0AF6">
            <w:pPr>
              <w:rPr>
                <w:rFonts w:ascii="Avenir Next" w:hAnsi="Avenir Next"/>
                <w:sz w:val="20"/>
                <w:szCs w:val="20"/>
                <w:lang w:val="es-ES"/>
              </w:rPr>
            </w:pPr>
          </w:p>
        </w:tc>
      </w:tr>
      <w:tr w:rsidR="00AF1271" w:rsidRPr="00AF1271" w14:paraId="28FCA06D" w14:textId="77777777" w:rsidTr="00AF1271">
        <w:tc>
          <w:tcPr>
            <w:tcW w:w="4248" w:type="dxa"/>
          </w:tcPr>
          <w:p w14:paraId="740FEB2C"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¿El programa J-REDD+ articula “quién” será responsable de los GRM?</w:t>
            </w:r>
          </w:p>
          <w:p w14:paraId="21BDF2FE" w14:textId="77777777" w:rsidR="00AF1271" w:rsidRPr="00AF1271" w:rsidRDefault="00AF1271" w:rsidP="00CE0AF6">
            <w:pPr>
              <w:pStyle w:val="ListParagraph"/>
              <w:rPr>
                <w:rFonts w:ascii="Avenir Next" w:hAnsi="Avenir Next"/>
                <w:sz w:val="20"/>
                <w:szCs w:val="20"/>
                <w:lang w:val="es-ES"/>
              </w:rPr>
            </w:pPr>
          </w:p>
        </w:tc>
        <w:tc>
          <w:tcPr>
            <w:tcW w:w="2126" w:type="dxa"/>
          </w:tcPr>
          <w:p w14:paraId="0F1FC56E" w14:textId="77777777" w:rsidR="00AF1271" w:rsidRPr="00AF1271" w:rsidRDefault="00AF1271" w:rsidP="00CE0AF6">
            <w:pPr>
              <w:rPr>
                <w:rFonts w:ascii="Avenir Next" w:hAnsi="Avenir Next"/>
                <w:sz w:val="20"/>
                <w:szCs w:val="20"/>
                <w:lang w:val="es-ES"/>
              </w:rPr>
            </w:pPr>
          </w:p>
        </w:tc>
        <w:tc>
          <w:tcPr>
            <w:tcW w:w="4360" w:type="dxa"/>
          </w:tcPr>
          <w:p w14:paraId="50E5C78E" w14:textId="77777777" w:rsidR="00AF1271" w:rsidRPr="00AF1271" w:rsidRDefault="00AF1271" w:rsidP="00CE0AF6">
            <w:pPr>
              <w:rPr>
                <w:rFonts w:ascii="Avenir Next" w:hAnsi="Avenir Next"/>
                <w:sz w:val="20"/>
                <w:szCs w:val="20"/>
                <w:lang w:val="es-ES"/>
              </w:rPr>
            </w:pPr>
          </w:p>
        </w:tc>
        <w:tc>
          <w:tcPr>
            <w:tcW w:w="3578" w:type="dxa"/>
          </w:tcPr>
          <w:p w14:paraId="1A256E13" w14:textId="77777777" w:rsidR="00AF1271" w:rsidRPr="00AF1271" w:rsidRDefault="00AF1271" w:rsidP="00CE0AF6">
            <w:pPr>
              <w:rPr>
                <w:rFonts w:ascii="Avenir Next" w:hAnsi="Avenir Next"/>
                <w:sz w:val="20"/>
                <w:szCs w:val="20"/>
                <w:lang w:val="es-ES"/>
              </w:rPr>
            </w:pPr>
          </w:p>
        </w:tc>
      </w:tr>
      <w:tr w:rsidR="00AF1271" w:rsidRPr="00AF1271" w14:paraId="2A5091A8" w14:textId="77777777" w:rsidTr="00AF1271">
        <w:tc>
          <w:tcPr>
            <w:tcW w:w="4248" w:type="dxa"/>
          </w:tcPr>
          <w:p w14:paraId="7EA3410C"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¿Los GRM especifican “cómo” se resolverán las quejas? [es decir, tener un procedimiento claro, incluidos los plazos]</w:t>
            </w:r>
          </w:p>
          <w:p w14:paraId="58036630" w14:textId="77777777" w:rsidR="00AF1271" w:rsidRPr="00AF1271" w:rsidRDefault="00AF1271" w:rsidP="00CE0AF6">
            <w:pPr>
              <w:pStyle w:val="ListParagraph"/>
              <w:rPr>
                <w:rFonts w:ascii="Avenir Next" w:hAnsi="Avenir Next"/>
                <w:sz w:val="20"/>
                <w:szCs w:val="20"/>
                <w:lang w:val="es-ES"/>
              </w:rPr>
            </w:pPr>
          </w:p>
        </w:tc>
        <w:tc>
          <w:tcPr>
            <w:tcW w:w="2126" w:type="dxa"/>
          </w:tcPr>
          <w:p w14:paraId="157430CF" w14:textId="77777777" w:rsidR="00AF1271" w:rsidRPr="00AF1271" w:rsidRDefault="00AF1271" w:rsidP="00CE0AF6">
            <w:pPr>
              <w:rPr>
                <w:rFonts w:ascii="Avenir Next" w:hAnsi="Avenir Next"/>
                <w:sz w:val="20"/>
                <w:szCs w:val="20"/>
                <w:lang w:val="es-ES"/>
              </w:rPr>
            </w:pPr>
          </w:p>
        </w:tc>
        <w:tc>
          <w:tcPr>
            <w:tcW w:w="4360" w:type="dxa"/>
          </w:tcPr>
          <w:p w14:paraId="258121DC" w14:textId="77777777" w:rsidR="00AF1271" w:rsidRPr="00AF1271" w:rsidRDefault="00AF1271" w:rsidP="00CE0AF6">
            <w:pPr>
              <w:rPr>
                <w:rFonts w:ascii="Avenir Next" w:hAnsi="Avenir Next"/>
                <w:sz w:val="20"/>
                <w:szCs w:val="20"/>
                <w:lang w:val="es-ES"/>
              </w:rPr>
            </w:pPr>
          </w:p>
        </w:tc>
        <w:tc>
          <w:tcPr>
            <w:tcW w:w="3578" w:type="dxa"/>
          </w:tcPr>
          <w:p w14:paraId="65FCB249" w14:textId="77777777" w:rsidR="00AF1271" w:rsidRPr="00AF1271" w:rsidRDefault="00AF1271" w:rsidP="00CE0AF6">
            <w:pPr>
              <w:rPr>
                <w:rFonts w:ascii="Avenir Next" w:hAnsi="Avenir Next"/>
                <w:sz w:val="20"/>
                <w:szCs w:val="20"/>
                <w:lang w:val="es-ES"/>
              </w:rPr>
            </w:pPr>
          </w:p>
        </w:tc>
      </w:tr>
      <w:tr w:rsidR="00AF1271" w:rsidRPr="00AF1271" w14:paraId="4B380A20" w14:textId="77777777" w:rsidTr="00AF1271">
        <w:trPr>
          <w:trHeight w:val="585"/>
        </w:trPr>
        <w:tc>
          <w:tcPr>
            <w:tcW w:w="4248" w:type="dxa"/>
          </w:tcPr>
          <w:p w14:paraId="6FF0AC86"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 xml:space="preserve">¿Los </w:t>
            </w:r>
            <w:proofErr w:type="spellStart"/>
            <w:r w:rsidRPr="00AF1271">
              <w:rPr>
                <w:rFonts w:ascii="Avenir Next" w:hAnsi="Avenir Next"/>
                <w:sz w:val="20"/>
                <w:szCs w:val="20"/>
                <w:lang w:val="es-ES"/>
              </w:rPr>
              <w:t>GRMs</w:t>
            </w:r>
            <w:proofErr w:type="spellEnd"/>
            <w:r w:rsidRPr="00AF1271">
              <w:rPr>
                <w:rFonts w:ascii="Avenir Next" w:hAnsi="Avenir Next"/>
                <w:sz w:val="20"/>
                <w:szCs w:val="20"/>
                <w:lang w:val="es-ES"/>
              </w:rPr>
              <w:t xml:space="preserve"> cuentan con un registro de quejas?</w:t>
            </w:r>
          </w:p>
          <w:p w14:paraId="7F17905B" w14:textId="77777777" w:rsidR="00AF1271" w:rsidRPr="00AF1271" w:rsidRDefault="00AF1271" w:rsidP="00CE0AF6">
            <w:pPr>
              <w:pStyle w:val="ListParagraph"/>
              <w:ind w:left="0"/>
              <w:rPr>
                <w:rFonts w:ascii="Avenir Next" w:hAnsi="Avenir Next"/>
                <w:sz w:val="20"/>
                <w:szCs w:val="20"/>
                <w:lang w:val="es-ES"/>
              </w:rPr>
            </w:pPr>
          </w:p>
        </w:tc>
        <w:tc>
          <w:tcPr>
            <w:tcW w:w="2126" w:type="dxa"/>
          </w:tcPr>
          <w:p w14:paraId="4609E0AE" w14:textId="77777777" w:rsidR="00AF1271" w:rsidRPr="00AF1271" w:rsidRDefault="00AF1271" w:rsidP="00CE0AF6">
            <w:pPr>
              <w:rPr>
                <w:rFonts w:ascii="Avenir Next" w:hAnsi="Avenir Next"/>
                <w:sz w:val="20"/>
                <w:szCs w:val="20"/>
                <w:lang w:val="es-ES"/>
              </w:rPr>
            </w:pPr>
          </w:p>
        </w:tc>
        <w:tc>
          <w:tcPr>
            <w:tcW w:w="4360" w:type="dxa"/>
          </w:tcPr>
          <w:p w14:paraId="03FD432A" w14:textId="77777777" w:rsidR="00AF1271" w:rsidRPr="00AF1271" w:rsidRDefault="00AF1271" w:rsidP="00CE0AF6">
            <w:pPr>
              <w:rPr>
                <w:rFonts w:ascii="Avenir Next" w:hAnsi="Avenir Next"/>
                <w:sz w:val="20"/>
                <w:szCs w:val="20"/>
                <w:lang w:val="es-ES"/>
              </w:rPr>
            </w:pPr>
          </w:p>
        </w:tc>
        <w:tc>
          <w:tcPr>
            <w:tcW w:w="3578" w:type="dxa"/>
          </w:tcPr>
          <w:p w14:paraId="26064E78" w14:textId="77777777" w:rsidR="00AF1271" w:rsidRPr="00AF1271" w:rsidRDefault="00AF1271" w:rsidP="00CE0AF6">
            <w:pPr>
              <w:rPr>
                <w:rFonts w:ascii="Avenir Next" w:hAnsi="Avenir Next"/>
                <w:sz w:val="20"/>
                <w:szCs w:val="20"/>
                <w:lang w:val="es-ES"/>
              </w:rPr>
            </w:pPr>
          </w:p>
          <w:p w14:paraId="5AFD0B83" w14:textId="77777777" w:rsidR="00AF1271" w:rsidRPr="00AF1271" w:rsidRDefault="00AF1271" w:rsidP="00CE0AF6">
            <w:pPr>
              <w:rPr>
                <w:rFonts w:ascii="Avenir Next" w:hAnsi="Avenir Next"/>
                <w:sz w:val="20"/>
                <w:szCs w:val="20"/>
                <w:lang w:val="es-ES"/>
              </w:rPr>
            </w:pPr>
          </w:p>
          <w:p w14:paraId="38AF8A17" w14:textId="77777777" w:rsidR="00AF1271" w:rsidRPr="00AF1271" w:rsidRDefault="00AF1271" w:rsidP="00CE0AF6">
            <w:pPr>
              <w:rPr>
                <w:rFonts w:ascii="Avenir Next" w:hAnsi="Avenir Next"/>
                <w:sz w:val="20"/>
                <w:szCs w:val="20"/>
                <w:lang w:val="es-ES"/>
              </w:rPr>
            </w:pPr>
          </w:p>
          <w:p w14:paraId="4151649B" w14:textId="77777777" w:rsidR="00AF1271" w:rsidRPr="00AF1271" w:rsidRDefault="00AF1271" w:rsidP="00CE0AF6">
            <w:pPr>
              <w:rPr>
                <w:rFonts w:ascii="Avenir Next" w:hAnsi="Avenir Next"/>
                <w:sz w:val="20"/>
                <w:szCs w:val="20"/>
                <w:lang w:val="es-ES"/>
              </w:rPr>
            </w:pPr>
          </w:p>
          <w:p w14:paraId="6A8D5663" w14:textId="77777777" w:rsidR="00AF1271" w:rsidRPr="00AF1271" w:rsidRDefault="00AF1271" w:rsidP="00CE0AF6">
            <w:pPr>
              <w:rPr>
                <w:rFonts w:ascii="Avenir Next" w:hAnsi="Avenir Next"/>
                <w:sz w:val="20"/>
                <w:szCs w:val="20"/>
                <w:lang w:val="es-ES"/>
              </w:rPr>
            </w:pPr>
          </w:p>
        </w:tc>
      </w:tr>
      <w:tr w:rsidR="00AF1271" w:rsidRPr="00AF1271" w14:paraId="75F9B449" w14:textId="77777777" w:rsidTr="00AF1271">
        <w:tc>
          <w:tcPr>
            <w:tcW w:w="14312" w:type="dxa"/>
            <w:gridSpan w:val="4"/>
            <w:shd w:val="clear" w:color="auto" w:fill="0E361A"/>
            <w:vAlign w:val="center"/>
          </w:tcPr>
          <w:p w14:paraId="3FE9589F" w14:textId="77777777" w:rsidR="00AF1271" w:rsidRPr="00AF1271" w:rsidRDefault="00AF1271" w:rsidP="00AF1271">
            <w:pPr>
              <w:pStyle w:val="ListParagraph"/>
              <w:ind w:left="0"/>
              <w:rPr>
                <w:rFonts w:ascii="Avenir Next Ultra Light" w:hAnsi="Avenir Next Ultra Light"/>
                <w:b/>
                <w:bCs/>
                <w:lang w:val="es-ES"/>
              </w:rPr>
            </w:pPr>
            <w:r w:rsidRPr="00AF1271">
              <w:rPr>
                <w:rFonts w:ascii="Avenir Next Ultra Light" w:hAnsi="Avenir Next Ultra Light"/>
                <w:b/>
                <w:bCs/>
                <w:lang w:val="es-ES"/>
              </w:rPr>
              <w:t>Enfoques participativos del programa J-REDD+</w:t>
            </w:r>
          </w:p>
        </w:tc>
      </w:tr>
      <w:tr w:rsidR="00AF1271" w:rsidRPr="00AF1271" w14:paraId="04A67290" w14:textId="77777777" w:rsidTr="00AF1271">
        <w:tc>
          <w:tcPr>
            <w:tcW w:w="4248" w:type="dxa"/>
            <w:shd w:val="clear" w:color="auto" w:fill="68807A"/>
            <w:vAlign w:val="center"/>
          </w:tcPr>
          <w:p w14:paraId="07863D46"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Criterios</w:t>
            </w:r>
          </w:p>
        </w:tc>
        <w:tc>
          <w:tcPr>
            <w:tcW w:w="2126" w:type="dxa"/>
            <w:shd w:val="clear" w:color="auto" w:fill="68807A"/>
            <w:vAlign w:val="center"/>
          </w:tcPr>
          <w:p w14:paraId="43E9575C"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Puntuación</w:t>
            </w:r>
          </w:p>
          <w:p w14:paraId="69C92F59"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(Si/No/Parcialmente)</w:t>
            </w:r>
          </w:p>
        </w:tc>
        <w:tc>
          <w:tcPr>
            <w:tcW w:w="4360" w:type="dxa"/>
            <w:shd w:val="clear" w:color="auto" w:fill="68807A"/>
            <w:vAlign w:val="center"/>
          </w:tcPr>
          <w:p w14:paraId="662A5BBF"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Comentarios</w:t>
            </w:r>
          </w:p>
        </w:tc>
        <w:tc>
          <w:tcPr>
            <w:tcW w:w="3578" w:type="dxa"/>
            <w:shd w:val="clear" w:color="auto" w:fill="68807A"/>
            <w:vAlign w:val="center"/>
          </w:tcPr>
          <w:p w14:paraId="020E963E"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Medios de verificación</w:t>
            </w:r>
          </w:p>
        </w:tc>
      </w:tr>
      <w:tr w:rsidR="00AF1271" w:rsidRPr="00AF1271" w14:paraId="2533AE71" w14:textId="77777777" w:rsidTr="00AF1271">
        <w:tc>
          <w:tcPr>
            <w:tcW w:w="4248" w:type="dxa"/>
          </w:tcPr>
          <w:p w14:paraId="0085ADF9"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¿Cuenta el programa J-REDD+ con un proceso o procedimiento participativo o consultivo? [como un plan de participación de las partes interesadas que determine cuáles, cómo y cuándo las partes interesadas participarán en la implementación y el seguimiento del programa J-REDD+]</w:t>
            </w:r>
          </w:p>
          <w:p w14:paraId="236FE1A7" w14:textId="77777777" w:rsidR="00AF1271" w:rsidRPr="00AF1271" w:rsidRDefault="00AF1271" w:rsidP="00CE0AF6">
            <w:pPr>
              <w:pStyle w:val="ListParagraph"/>
              <w:rPr>
                <w:rFonts w:ascii="Avenir Next" w:hAnsi="Avenir Next"/>
                <w:sz w:val="20"/>
                <w:szCs w:val="20"/>
                <w:lang w:val="es-ES"/>
              </w:rPr>
            </w:pPr>
          </w:p>
        </w:tc>
        <w:tc>
          <w:tcPr>
            <w:tcW w:w="2126" w:type="dxa"/>
          </w:tcPr>
          <w:p w14:paraId="1630785C" w14:textId="77777777" w:rsidR="00AF1271" w:rsidRPr="00AF1271" w:rsidRDefault="00AF1271" w:rsidP="00CE0AF6">
            <w:pPr>
              <w:rPr>
                <w:rFonts w:ascii="Avenir Next" w:hAnsi="Avenir Next"/>
                <w:sz w:val="20"/>
                <w:szCs w:val="20"/>
                <w:lang w:val="es-ES"/>
              </w:rPr>
            </w:pPr>
          </w:p>
        </w:tc>
        <w:tc>
          <w:tcPr>
            <w:tcW w:w="4360" w:type="dxa"/>
          </w:tcPr>
          <w:p w14:paraId="5C862B86" w14:textId="77777777" w:rsidR="00AF1271" w:rsidRPr="00AF1271" w:rsidRDefault="00AF1271" w:rsidP="00CE0AF6">
            <w:pPr>
              <w:rPr>
                <w:rFonts w:ascii="Avenir Next" w:hAnsi="Avenir Next"/>
                <w:sz w:val="20"/>
                <w:szCs w:val="20"/>
                <w:lang w:val="es-ES"/>
              </w:rPr>
            </w:pPr>
          </w:p>
        </w:tc>
        <w:tc>
          <w:tcPr>
            <w:tcW w:w="3578" w:type="dxa"/>
          </w:tcPr>
          <w:p w14:paraId="2240A62C" w14:textId="77777777" w:rsidR="00AF1271" w:rsidRPr="00AF1271" w:rsidRDefault="00AF1271" w:rsidP="00CE0AF6">
            <w:pPr>
              <w:rPr>
                <w:rFonts w:ascii="Avenir Next" w:hAnsi="Avenir Next"/>
                <w:sz w:val="20"/>
                <w:szCs w:val="20"/>
                <w:lang w:val="es-ES"/>
              </w:rPr>
            </w:pPr>
          </w:p>
        </w:tc>
      </w:tr>
      <w:tr w:rsidR="00AF1271" w:rsidRPr="00AF1271" w14:paraId="1B8FEFF7" w14:textId="77777777" w:rsidTr="00AF1271">
        <w:tc>
          <w:tcPr>
            <w:tcW w:w="4248" w:type="dxa"/>
          </w:tcPr>
          <w:p w14:paraId="4AB7F154"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 xml:space="preserve">¿Cuenta el programa J-REDD+ con una plataforma de múltiples partes interesadas o equivalente, que se utilice para promover la participación e inclusión de las partes interesadas en el contexto de </w:t>
            </w:r>
            <w:r w:rsidRPr="00AF1271">
              <w:rPr>
                <w:rFonts w:ascii="Avenir Next" w:hAnsi="Avenir Next"/>
                <w:sz w:val="20"/>
                <w:szCs w:val="20"/>
                <w:lang w:val="es-ES"/>
              </w:rPr>
              <w:lastRenderedPageBreak/>
              <w:t>su toma de decisiones, implementación y seguimiento?</w:t>
            </w:r>
            <w:r w:rsidRPr="00AF1271">
              <w:rPr>
                <w:rStyle w:val="FootnoteReference"/>
                <w:rFonts w:ascii="Avenir Next" w:hAnsi="Avenir Next"/>
                <w:sz w:val="20"/>
                <w:szCs w:val="20"/>
                <w:lang w:val="es-ES"/>
              </w:rPr>
              <w:footnoteReference w:id="6"/>
            </w:r>
          </w:p>
          <w:p w14:paraId="0DB1F9E9" w14:textId="77777777" w:rsidR="00AF1271" w:rsidRPr="00AF1271" w:rsidRDefault="00AF1271" w:rsidP="00CE0AF6">
            <w:pPr>
              <w:rPr>
                <w:rFonts w:ascii="Avenir Next" w:hAnsi="Avenir Next"/>
                <w:sz w:val="20"/>
                <w:szCs w:val="20"/>
                <w:lang w:val="es-ES"/>
              </w:rPr>
            </w:pPr>
          </w:p>
        </w:tc>
        <w:tc>
          <w:tcPr>
            <w:tcW w:w="2126" w:type="dxa"/>
          </w:tcPr>
          <w:p w14:paraId="7FCD23AD" w14:textId="77777777" w:rsidR="00AF1271" w:rsidRPr="00AF1271" w:rsidRDefault="00AF1271" w:rsidP="00CE0AF6">
            <w:pPr>
              <w:rPr>
                <w:rFonts w:ascii="Avenir Next" w:hAnsi="Avenir Next"/>
                <w:sz w:val="20"/>
                <w:szCs w:val="20"/>
                <w:lang w:val="es-ES"/>
              </w:rPr>
            </w:pPr>
          </w:p>
        </w:tc>
        <w:tc>
          <w:tcPr>
            <w:tcW w:w="4360" w:type="dxa"/>
          </w:tcPr>
          <w:p w14:paraId="7BDEA159" w14:textId="77777777" w:rsidR="00AF1271" w:rsidRPr="00AF1271" w:rsidRDefault="00AF1271" w:rsidP="00CE0AF6">
            <w:pPr>
              <w:rPr>
                <w:rFonts w:ascii="Avenir Next" w:hAnsi="Avenir Next"/>
                <w:sz w:val="20"/>
                <w:szCs w:val="20"/>
                <w:lang w:val="es-ES"/>
              </w:rPr>
            </w:pPr>
          </w:p>
        </w:tc>
        <w:tc>
          <w:tcPr>
            <w:tcW w:w="3578" w:type="dxa"/>
          </w:tcPr>
          <w:p w14:paraId="26E0DD21" w14:textId="77777777" w:rsidR="00AF1271" w:rsidRPr="00AF1271" w:rsidRDefault="00AF1271" w:rsidP="00CE0AF6">
            <w:pPr>
              <w:rPr>
                <w:rFonts w:ascii="Avenir Next" w:hAnsi="Avenir Next"/>
                <w:sz w:val="20"/>
                <w:szCs w:val="20"/>
                <w:lang w:val="es-ES"/>
              </w:rPr>
            </w:pPr>
          </w:p>
        </w:tc>
      </w:tr>
      <w:tr w:rsidR="00AF1271" w:rsidRPr="00AF1271" w14:paraId="182DE920" w14:textId="77777777" w:rsidTr="00AF1271">
        <w:tc>
          <w:tcPr>
            <w:tcW w:w="14312" w:type="dxa"/>
            <w:gridSpan w:val="4"/>
            <w:shd w:val="clear" w:color="auto" w:fill="0E361A"/>
            <w:vAlign w:val="center"/>
          </w:tcPr>
          <w:p w14:paraId="7BF59A50" w14:textId="77777777" w:rsidR="00AF1271" w:rsidRPr="00AF1271" w:rsidRDefault="00AF1271" w:rsidP="00AF1271">
            <w:pPr>
              <w:pStyle w:val="ListParagraph"/>
              <w:ind w:left="0"/>
              <w:rPr>
                <w:rFonts w:ascii="Avenir Next Ultra Light" w:hAnsi="Avenir Next Ultra Light"/>
                <w:b/>
                <w:bCs/>
                <w:lang w:val="es-ES"/>
              </w:rPr>
            </w:pPr>
            <w:r w:rsidRPr="00AF1271">
              <w:rPr>
                <w:rFonts w:ascii="Avenir Next Ultra Light" w:hAnsi="Avenir Next Ultra Light"/>
                <w:b/>
                <w:bCs/>
                <w:lang w:val="es-ES"/>
              </w:rPr>
              <w:t>Resumen de Información (SOI)</w:t>
            </w:r>
          </w:p>
        </w:tc>
      </w:tr>
      <w:tr w:rsidR="00AF1271" w:rsidRPr="00AF1271" w14:paraId="34CB5C21" w14:textId="77777777" w:rsidTr="00AF1271">
        <w:tc>
          <w:tcPr>
            <w:tcW w:w="4248" w:type="dxa"/>
            <w:shd w:val="clear" w:color="auto" w:fill="68807A"/>
            <w:vAlign w:val="center"/>
          </w:tcPr>
          <w:p w14:paraId="3455200E"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Criterios</w:t>
            </w:r>
          </w:p>
        </w:tc>
        <w:tc>
          <w:tcPr>
            <w:tcW w:w="2126" w:type="dxa"/>
            <w:shd w:val="clear" w:color="auto" w:fill="68807A"/>
            <w:vAlign w:val="center"/>
          </w:tcPr>
          <w:p w14:paraId="40BB921A"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Puntuación</w:t>
            </w:r>
          </w:p>
          <w:p w14:paraId="76E0C130"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(Si/No/Parcialmente)</w:t>
            </w:r>
          </w:p>
        </w:tc>
        <w:tc>
          <w:tcPr>
            <w:tcW w:w="4360" w:type="dxa"/>
            <w:shd w:val="clear" w:color="auto" w:fill="68807A"/>
            <w:vAlign w:val="center"/>
          </w:tcPr>
          <w:p w14:paraId="27605529"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Comentarios</w:t>
            </w:r>
          </w:p>
        </w:tc>
        <w:tc>
          <w:tcPr>
            <w:tcW w:w="3578" w:type="dxa"/>
            <w:shd w:val="clear" w:color="auto" w:fill="68807A"/>
            <w:vAlign w:val="center"/>
          </w:tcPr>
          <w:p w14:paraId="35AFD000" w14:textId="77777777" w:rsidR="00AF1271" w:rsidRPr="00AF1271" w:rsidRDefault="00AF1271" w:rsidP="00AF1271">
            <w:pPr>
              <w:jc w:val="center"/>
              <w:rPr>
                <w:rFonts w:ascii="Bodoni 72 Book" w:hAnsi="Bodoni 72 Book"/>
                <w:sz w:val="22"/>
                <w:szCs w:val="22"/>
                <w:lang w:val="es-ES"/>
              </w:rPr>
            </w:pPr>
            <w:r w:rsidRPr="00AF1271">
              <w:rPr>
                <w:rFonts w:ascii="Bodoni 72 Book" w:hAnsi="Bodoni 72 Book"/>
                <w:sz w:val="22"/>
                <w:szCs w:val="22"/>
                <w:lang w:val="es-ES"/>
              </w:rPr>
              <w:t>Medios de verificación</w:t>
            </w:r>
          </w:p>
        </w:tc>
      </w:tr>
      <w:tr w:rsidR="00AF1271" w:rsidRPr="00AF1271" w14:paraId="6E8CB1F9" w14:textId="77777777" w:rsidTr="00AF1271">
        <w:tc>
          <w:tcPr>
            <w:tcW w:w="4248" w:type="dxa"/>
          </w:tcPr>
          <w:p w14:paraId="789A2671"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¿Se ha presentado un SOI ante la CMNUCC?</w:t>
            </w:r>
          </w:p>
          <w:p w14:paraId="4CC1AFB1" w14:textId="77777777" w:rsidR="00AF1271" w:rsidRPr="00AF1271" w:rsidRDefault="00AF1271" w:rsidP="00CE0AF6">
            <w:pPr>
              <w:pStyle w:val="ListParagraph"/>
              <w:rPr>
                <w:rFonts w:ascii="Avenir Next" w:hAnsi="Avenir Next"/>
                <w:sz w:val="20"/>
                <w:szCs w:val="20"/>
                <w:lang w:val="es-ES"/>
              </w:rPr>
            </w:pPr>
          </w:p>
        </w:tc>
        <w:tc>
          <w:tcPr>
            <w:tcW w:w="2126" w:type="dxa"/>
          </w:tcPr>
          <w:p w14:paraId="3D7DEFB2" w14:textId="77777777" w:rsidR="00AF1271" w:rsidRPr="00AF1271" w:rsidRDefault="00AF1271" w:rsidP="00CE0AF6">
            <w:pPr>
              <w:rPr>
                <w:rFonts w:ascii="Avenir Next" w:hAnsi="Avenir Next"/>
                <w:sz w:val="20"/>
                <w:szCs w:val="20"/>
                <w:lang w:val="es-ES"/>
              </w:rPr>
            </w:pPr>
          </w:p>
        </w:tc>
        <w:tc>
          <w:tcPr>
            <w:tcW w:w="4360" w:type="dxa"/>
          </w:tcPr>
          <w:p w14:paraId="236143B3" w14:textId="77777777" w:rsidR="00AF1271" w:rsidRPr="00AF1271" w:rsidRDefault="00AF1271" w:rsidP="00CE0AF6">
            <w:pPr>
              <w:rPr>
                <w:rFonts w:ascii="Avenir Next" w:hAnsi="Avenir Next"/>
                <w:sz w:val="20"/>
                <w:szCs w:val="20"/>
                <w:lang w:val="es-ES"/>
              </w:rPr>
            </w:pPr>
          </w:p>
        </w:tc>
        <w:tc>
          <w:tcPr>
            <w:tcW w:w="3578" w:type="dxa"/>
          </w:tcPr>
          <w:p w14:paraId="656F012B" w14:textId="77777777" w:rsidR="00AF1271" w:rsidRPr="00AF1271" w:rsidRDefault="00AF1271" w:rsidP="00CE0AF6">
            <w:pPr>
              <w:rPr>
                <w:rFonts w:ascii="Avenir Next" w:hAnsi="Avenir Next"/>
                <w:sz w:val="20"/>
                <w:szCs w:val="20"/>
                <w:lang w:val="es-ES"/>
              </w:rPr>
            </w:pPr>
          </w:p>
        </w:tc>
      </w:tr>
      <w:tr w:rsidR="00AF1271" w:rsidRPr="00AF1271" w14:paraId="65861391" w14:textId="77777777" w:rsidTr="00AF1271">
        <w:tc>
          <w:tcPr>
            <w:tcW w:w="4248" w:type="dxa"/>
          </w:tcPr>
          <w:p w14:paraId="2694981E" w14:textId="77777777" w:rsidR="00AF1271" w:rsidRPr="00AF1271" w:rsidRDefault="00AF1271" w:rsidP="00AF1271">
            <w:pPr>
              <w:pStyle w:val="ListParagraph"/>
              <w:numPr>
                <w:ilvl w:val="0"/>
                <w:numId w:val="10"/>
              </w:numPr>
              <w:rPr>
                <w:rFonts w:ascii="Avenir Next" w:hAnsi="Avenir Next"/>
                <w:sz w:val="20"/>
                <w:szCs w:val="20"/>
                <w:lang w:val="es-ES"/>
              </w:rPr>
            </w:pPr>
            <w:r w:rsidRPr="00AF1271">
              <w:rPr>
                <w:rFonts w:ascii="Avenir Next" w:hAnsi="Avenir Next"/>
                <w:sz w:val="20"/>
                <w:szCs w:val="20"/>
                <w:lang w:val="es-ES"/>
              </w:rPr>
              <w:t>¿Se ha presentado un SOI en correlación con el período por el cual se reclaman los RBP?</w:t>
            </w:r>
          </w:p>
        </w:tc>
        <w:tc>
          <w:tcPr>
            <w:tcW w:w="2126" w:type="dxa"/>
          </w:tcPr>
          <w:p w14:paraId="2D9C77B6" w14:textId="77777777" w:rsidR="00AF1271" w:rsidRPr="00AF1271" w:rsidRDefault="00AF1271" w:rsidP="00CE0AF6">
            <w:pPr>
              <w:rPr>
                <w:rFonts w:ascii="Avenir Next" w:hAnsi="Avenir Next"/>
                <w:sz w:val="20"/>
                <w:szCs w:val="20"/>
                <w:lang w:val="es-ES"/>
              </w:rPr>
            </w:pPr>
          </w:p>
        </w:tc>
        <w:tc>
          <w:tcPr>
            <w:tcW w:w="4360" w:type="dxa"/>
          </w:tcPr>
          <w:p w14:paraId="66A95F86" w14:textId="77777777" w:rsidR="00AF1271" w:rsidRPr="00AF1271" w:rsidRDefault="00AF1271" w:rsidP="00CE0AF6">
            <w:pPr>
              <w:rPr>
                <w:rFonts w:ascii="Avenir Next" w:hAnsi="Avenir Next"/>
                <w:sz w:val="20"/>
                <w:szCs w:val="20"/>
                <w:lang w:val="es-ES"/>
              </w:rPr>
            </w:pPr>
          </w:p>
        </w:tc>
        <w:tc>
          <w:tcPr>
            <w:tcW w:w="3578" w:type="dxa"/>
          </w:tcPr>
          <w:p w14:paraId="0AC292CA" w14:textId="77777777" w:rsidR="00AF1271" w:rsidRPr="00AF1271" w:rsidRDefault="00AF1271" w:rsidP="00CE0AF6">
            <w:pPr>
              <w:rPr>
                <w:rFonts w:ascii="Avenir Next" w:hAnsi="Avenir Next"/>
                <w:sz w:val="20"/>
                <w:szCs w:val="20"/>
                <w:lang w:val="es-ES"/>
              </w:rPr>
            </w:pPr>
          </w:p>
        </w:tc>
      </w:tr>
    </w:tbl>
    <w:p w14:paraId="5BF148BB" w14:textId="77777777" w:rsidR="0074651B" w:rsidRDefault="0074651B">
      <w:pPr>
        <w:spacing w:before="120" w:after="120" w:line="336" w:lineRule="auto"/>
        <w:rPr>
          <w:rFonts w:ascii="Montserrat" w:eastAsia="Montserrat" w:hAnsi="Montserrat" w:cs="Montserrat"/>
          <w:color w:val="00646A"/>
          <w:sz w:val="64"/>
          <w:szCs w:val="64"/>
          <w:lang w:val="es-ES"/>
        </w:rPr>
      </w:pPr>
    </w:p>
    <w:p w14:paraId="164C565F" w14:textId="77777777" w:rsidR="0074651B" w:rsidRDefault="0074651B">
      <w:pPr>
        <w:spacing w:before="120" w:after="120" w:line="336" w:lineRule="auto"/>
        <w:rPr>
          <w:rFonts w:ascii="Montserrat" w:eastAsia="Montserrat" w:hAnsi="Montserrat" w:cs="Montserrat"/>
          <w:color w:val="00646A"/>
          <w:sz w:val="64"/>
          <w:szCs w:val="64"/>
          <w:lang w:val="es-ES"/>
        </w:rPr>
      </w:pPr>
    </w:p>
    <w:p w14:paraId="79FA3F0E" w14:textId="77777777" w:rsidR="0074651B" w:rsidRDefault="0074651B">
      <w:pPr>
        <w:spacing w:before="120" w:after="120" w:line="336" w:lineRule="auto"/>
        <w:rPr>
          <w:rFonts w:ascii="Montserrat" w:eastAsia="Montserrat" w:hAnsi="Montserrat" w:cs="Montserrat"/>
          <w:color w:val="00646A"/>
          <w:sz w:val="64"/>
          <w:szCs w:val="64"/>
          <w:lang w:val="es-ES"/>
        </w:rPr>
      </w:pPr>
    </w:p>
    <w:p w14:paraId="5DCE4E28" w14:textId="77777777" w:rsidR="0074651B" w:rsidRDefault="0074651B">
      <w:pPr>
        <w:spacing w:before="120" w:after="120" w:line="336" w:lineRule="auto"/>
        <w:rPr>
          <w:rFonts w:ascii="Montserrat" w:eastAsia="Montserrat" w:hAnsi="Montserrat" w:cs="Montserrat"/>
          <w:color w:val="00646A"/>
          <w:sz w:val="64"/>
          <w:szCs w:val="64"/>
          <w:lang w:val="es-ES"/>
        </w:rPr>
        <w:sectPr w:rsidR="0074651B" w:rsidSect="00F42EF7">
          <w:pgSz w:w="16845" w:h="11910" w:orient="landscape"/>
          <w:pgMar w:top="1440" w:right="1440" w:bottom="1440" w:left="1440" w:header="720" w:footer="720" w:gutter="0"/>
          <w:cols w:space="720"/>
          <w:docGrid w:linePitch="326"/>
        </w:sectPr>
      </w:pPr>
    </w:p>
    <w:p w14:paraId="65D38D80" w14:textId="5901DE0C" w:rsidR="0074651B" w:rsidRPr="0074651B" w:rsidRDefault="0074651B">
      <w:pPr>
        <w:spacing w:before="120" w:after="120" w:line="336" w:lineRule="auto"/>
        <w:rPr>
          <w:rFonts w:ascii="Bodoni 72 Book" w:eastAsia="Montserrat" w:hAnsi="Bodoni 72 Book" w:cs="Montserrat"/>
          <w:color w:val="0E361A"/>
          <w:sz w:val="64"/>
          <w:szCs w:val="64"/>
          <w:lang w:val="es-ES"/>
        </w:rPr>
      </w:pPr>
      <w:r w:rsidRPr="0074651B">
        <w:rPr>
          <w:rFonts w:ascii="Bodoni 72 Book" w:eastAsia="Montserrat" w:hAnsi="Bodoni 72 Book" w:cs="Montserrat"/>
          <w:color w:val="0E361A"/>
          <w:sz w:val="64"/>
          <w:szCs w:val="64"/>
          <w:lang w:val="es-ES"/>
        </w:rPr>
        <w:lastRenderedPageBreak/>
        <w:t>Sección B - Plantilla de informe de selección de salvaguardas J-REDD</w:t>
      </w:r>
    </w:p>
    <w:p w14:paraId="2E6D0786" w14:textId="77777777" w:rsidR="006169C8" w:rsidRPr="0074651B" w:rsidRDefault="006169C8">
      <w:pPr>
        <w:pBdr>
          <w:bottom w:val="single" w:sz="6" w:space="0" w:color="314136"/>
        </w:pBdr>
        <w:spacing w:before="120" w:after="120" w:line="0" w:lineRule="auto"/>
        <w:rPr>
          <w:rFonts w:ascii="Avenir Next" w:hAnsi="Avenir Next"/>
          <w:sz w:val="20"/>
          <w:szCs w:val="20"/>
          <w:lang w:val="es-ES"/>
        </w:rPr>
      </w:pPr>
    </w:p>
    <w:p w14:paraId="634544E1" w14:textId="77777777" w:rsidR="0074651B" w:rsidRDefault="00000000">
      <w:p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lang w:val="es-ES"/>
        </w:rPr>
        <w:t>Como se señaló anteriormente, el objetivo de la selección es</w:t>
      </w:r>
      <w:r w:rsidRPr="0074651B">
        <w:rPr>
          <w:rFonts w:ascii="Avenir Next" w:eastAsia="IBM Plex Sans Bold" w:hAnsi="Avenir Next" w:cs="IBM Plex Sans Bold"/>
          <w:b/>
          <w:bCs/>
          <w:color w:val="000000"/>
          <w:sz w:val="20"/>
          <w:szCs w:val="20"/>
          <w:lang w:val="es-ES"/>
        </w:rPr>
        <w:t xml:space="preserve"> identificar</w:t>
      </w:r>
      <w:r w:rsidRPr="0074651B">
        <w:rPr>
          <w:rFonts w:ascii="Avenir Next" w:eastAsia="IBM Plex Sans" w:hAnsi="Avenir Next" w:cs="IBM Plex Sans"/>
          <w:color w:val="000000"/>
          <w:sz w:val="20"/>
          <w:szCs w:val="20"/>
          <w:lang w:val="es-ES"/>
        </w:rPr>
        <w:t xml:space="preserve"> principalmente si el programa J-REDD+ cuenta con los elementos mínimos e identificar cualquier brecha. En consecuencia, esta plantilla de informes tiene como objetivo: </w:t>
      </w:r>
    </w:p>
    <w:p w14:paraId="4543153B" w14:textId="77777777" w:rsidR="0074651B" w:rsidRPr="0074651B" w:rsidRDefault="00000000" w:rsidP="0074651B">
      <w:pPr>
        <w:pStyle w:val="ListParagraph"/>
        <w:numPr>
          <w:ilvl w:val="0"/>
          <w:numId w:val="13"/>
        </w:num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lang w:val="es-ES"/>
        </w:rPr>
        <w:t xml:space="preserve">Determinar qué elementos de salvaguarda estarán sujetos a revisión cualitativa, lo que dependerá de su nivel de desarrollo. </w:t>
      </w:r>
    </w:p>
    <w:p w14:paraId="475F7945" w14:textId="6B1E04EA" w:rsidR="006169C8" w:rsidRPr="0074651B" w:rsidRDefault="00000000" w:rsidP="0074651B">
      <w:pPr>
        <w:pStyle w:val="ListParagraph"/>
        <w:numPr>
          <w:ilvl w:val="0"/>
          <w:numId w:val="13"/>
        </w:num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lang w:val="es-ES"/>
        </w:rPr>
        <w:t xml:space="preserve">Identificar si falta algún elemento de salvaguarda, que se cubrirá directamente en las hojas de ruta de J-REDD+ (Herramienta 8). </w:t>
      </w:r>
    </w:p>
    <w:p w14:paraId="208DB3E7" w14:textId="77777777" w:rsidR="0074651B" w:rsidRDefault="00000000">
      <w:p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lang w:val="es-ES"/>
        </w:rPr>
        <w:t xml:space="preserve">Para completar esta plantilla de informe, los usuarios (con el apoyo de una organización internacional experta seleccionada) deben considerar las respuestas proporcionadas en la 'Sección A' anterior. Al completar esta plantilla, los usuarios deberán considerar el alcance de cada columna de la siguiente manera: </w:t>
      </w:r>
    </w:p>
    <w:p w14:paraId="2CA1EAD3" w14:textId="47C06256" w:rsidR="0074651B" w:rsidRPr="0074651B" w:rsidRDefault="00000000" w:rsidP="0074651B">
      <w:pPr>
        <w:pStyle w:val="ListParagraph"/>
        <w:numPr>
          <w:ilvl w:val="0"/>
          <w:numId w:val="14"/>
        </w:num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u w:val="single" w:color="000000"/>
          <w:lang w:val="es-ES"/>
        </w:rPr>
        <w:t xml:space="preserve">¿Está el elemento completado?: </w:t>
      </w:r>
      <w:r w:rsidRPr="0074651B">
        <w:rPr>
          <w:rFonts w:ascii="Avenir Next" w:eastAsia="IBM Plex Sans" w:hAnsi="Avenir Next" w:cs="IBM Plex Sans"/>
          <w:color w:val="000000"/>
          <w:sz w:val="20"/>
          <w:szCs w:val="20"/>
          <w:lang w:val="es-ES"/>
        </w:rPr>
        <w:t xml:space="preserve">los usuarios deben responder </w:t>
      </w:r>
      <w:r w:rsidRPr="0005159F">
        <w:rPr>
          <w:rFonts w:ascii="Avenir Next" w:eastAsia="IBM Plex Sans" w:hAnsi="Avenir Next" w:cs="IBM Plex Sans"/>
          <w:i/>
          <w:iCs/>
          <w:color w:val="000000"/>
          <w:sz w:val="20"/>
          <w:szCs w:val="20"/>
          <w:lang w:val="es-ES"/>
        </w:rPr>
        <w:t xml:space="preserve">"Sí" </w:t>
      </w:r>
      <w:r w:rsidRPr="0074651B">
        <w:rPr>
          <w:rFonts w:ascii="Avenir Next" w:eastAsia="IBM Plex Sans" w:hAnsi="Avenir Next" w:cs="IBM Plex Sans"/>
          <w:color w:val="000000"/>
          <w:sz w:val="20"/>
          <w:szCs w:val="20"/>
          <w:lang w:val="es-ES"/>
        </w:rPr>
        <w:t xml:space="preserve">o </w:t>
      </w:r>
      <w:r w:rsidRPr="0005159F">
        <w:rPr>
          <w:rFonts w:ascii="Avenir Next" w:eastAsia="IBM Plex Sans" w:hAnsi="Avenir Next" w:cs="IBM Plex Sans"/>
          <w:i/>
          <w:iCs/>
          <w:color w:val="000000"/>
          <w:sz w:val="20"/>
          <w:szCs w:val="20"/>
          <w:lang w:val="es-ES"/>
        </w:rPr>
        <w:t>"No</w:t>
      </w:r>
      <w:r w:rsidRPr="0074651B">
        <w:rPr>
          <w:rFonts w:ascii="Avenir Next" w:eastAsia="IBM Plex Sans" w:hAnsi="Avenir Next" w:cs="IBM Plex Sans"/>
          <w:color w:val="000000"/>
          <w:sz w:val="20"/>
          <w:szCs w:val="20"/>
          <w:lang w:val="es-ES"/>
        </w:rPr>
        <w:t xml:space="preserve">" a esta pregunta, basándose en las respuestas proporcionadas en la "Sección A". Si alguna de las respuestas proporcionadas en la "Sección A" fue "Sí" o </w:t>
      </w:r>
      <w:r w:rsidRPr="0005159F">
        <w:rPr>
          <w:rFonts w:ascii="Avenir Next" w:eastAsia="IBM Plex Sans" w:hAnsi="Avenir Next" w:cs="IBM Plex Sans"/>
          <w:i/>
          <w:iCs/>
          <w:color w:val="000000"/>
          <w:sz w:val="20"/>
          <w:szCs w:val="20"/>
          <w:lang w:val="es-ES"/>
        </w:rPr>
        <w:t>"Parcialmente",</w:t>
      </w:r>
      <w:r w:rsidRPr="0074651B">
        <w:rPr>
          <w:rFonts w:ascii="Avenir Next" w:eastAsia="IBM Plex Sans" w:hAnsi="Avenir Next" w:cs="IBM Plex Sans"/>
          <w:color w:val="000000"/>
          <w:sz w:val="20"/>
          <w:szCs w:val="20"/>
          <w:lang w:val="es-ES"/>
        </w:rPr>
        <w:t xml:space="preserve"> la respuesta en esta columna debe ser "</w:t>
      </w:r>
      <w:r w:rsidRPr="0005159F">
        <w:rPr>
          <w:rFonts w:ascii="Avenir Next" w:eastAsia="IBM Plex Sans" w:hAnsi="Avenir Next" w:cs="IBM Plex Sans"/>
          <w:i/>
          <w:iCs/>
          <w:color w:val="000000"/>
          <w:sz w:val="20"/>
          <w:szCs w:val="20"/>
          <w:lang w:val="es-ES"/>
        </w:rPr>
        <w:t>Sí".</w:t>
      </w:r>
      <w:r w:rsidRPr="0074651B">
        <w:rPr>
          <w:rFonts w:ascii="Avenir Next" w:eastAsia="IBM Plex Sans" w:hAnsi="Avenir Next" w:cs="IBM Plex Sans"/>
          <w:color w:val="000000"/>
          <w:sz w:val="20"/>
          <w:szCs w:val="20"/>
          <w:lang w:val="es-ES"/>
        </w:rPr>
        <w:t xml:space="preserve"> Si todas las respuestas para un elemento en particular fueron </w:t>
      </w:r>
      <w:r w:rsidRPr="0005159F">
        <w:rPr>
          <w:rFonts w:ascii="Avenir Next" w:eastAsia="IBM Plex Sans" w:hAnsi="Avenir Next" w:cs="IBM Plex Sans"/>
          <w:i/>
          <w:iCs/>
          <w:color w:val="000000"/>
          <w:sz w:val="20"/>
          <w:szCs w:val="20"/>
          <w:lang w:val="es-ES"/>
        </w:rPr>
        <w:t>"N</w:t>
      </w:r>
      <w:r w:rsidR="0005159F" w:rsidRPr="0005159F">
        <w:rPr>
          <w:rFonts w:ascii="Avenir Next" w:eastAsia="IBM Plex Sans" w:hAnsi="Avenir Next" w:cs="IBM Plex Sans"/>
          <w:i/>
          <w:iCs/>
          <w:color w:val="000000"/>
          <w:sz w:val="20"/>
          <w:szCs w:val="20"/>
          <w:lang w:val="es-ES"/>
        </w:rPr>
        <w:t>o</w:t>
      </w:r>
      <w:r w:rsidRPr="0005159F">
        <w:rPr>
          <w:rFonts w:ascii="Avenir Next" w:eastAsia="IBM Plex Sans" w:hAnsi="Avenir Next" w:cs="IBM Plex Sans"/>
          <w:i/>
          <w:iCs/>
          <w:color w:val="000000"/>
          <w:sz w:val="20"/>
          <w:szCs w:val="20"/>
          <w:lang w:val="es-ES"/>
        </w:rPr>
        <w:t>",</w:t>
      </w:r>
      <w:r w:rsidRPr="0074651B">
        <w:rPr>
          <w:rFonts w:ascii="Avenir Next" w:eastAsia="IBM Plex Sans" w:hAnsi="Avenir Next" w:cs="IBM Plex Sans"/>
          <w:color w:val="000000"/>
          <w:sz w:val="20"/>
          <w:szCs w:val="20"/>
          <w:lang w:val="es-ES"/>
        </w:rPr>
        <w:t xml:space="preserve"> la respuesta en esta columna debería ser </w:t>
      </w:r>
      <w:r w:rsidRPr="0005159F">
        <w:rPr>
          <w:rFonts w:ascii="Avenir Next" w:eastAsia="IBM Plex Sans" w:hAnsi="Avenir Next" w:cs="IBM Plex Sans"/>
          <w:i/>
          <w:iCs/>
          <w:color w:val="000000"/>
          <w:sz w:val="20"/>
          <w:szCs w:val="20"/>
          <w:lang w:val="es-ES"/>
        </w:rPr>
        <w:t>"No".</w:t>
      </w:r>
      <w:r w:rsidRPr="0074651B">
        <w:rPr>
          <w:rFonts w:ascii="Avenir Next" w:eastAsia="IBM Plex Sans" w:hAnsi="Avenir Next" w:cs="IBM Plex Sans"/>
          <w:color w:val="000000"/>
          <w:sz w:val="20"/>
          <w:szCs w:val="20"/>
          <w:lang w:val="es-ES"/>
        </w:rPr>
        <w:t xml:space="preserve"> </w:t>
      </w:r>
    </w:p>
    <w:p w14:paraId="70C51C75" w14:textId="77777777" w:rsidR="0074651B" w:rsidRPr="0074651B" w:rsidRDefault="00000000" w:rsidP="0074651B">
      <w:pPr>
        <w:pStyle w:val="ListParagraph"/>
        <w:numPr>
          <w:ilvl w:val="0"/>
          <w:numId w:val="14"/>
        </w:num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u w:val="single" w:color="000000"/>
          <w:lang w:val="es-ES"/>
        </w:rPr>
        <w:t xml:space="preserve">Revisión cualitativa aplicable: </w:t>
      </w:r>
      <w:r w:rsidRPr="0074651B">
        <w:rPr>
          <w:rFonts w:ascii="Avenir Next" w:eastAsia="IBM Plex Sans" w:hAnsi="Avenir Next" w:cs="IBM Plex Sans"/>
          <w:color w:val="000000"/>
          <w:sz w:val="20"/>
          <w:szCs w:val="20"/>
          <w:lang w:val="es-ES"/>
        </w:rPr>
        <w:t xml:space="preserve">para que los usuarios confirmen el elemento se someterá a una revisión cualitativa y la herramienta que se utilizará para ello. Si existe un elemento, se someterá a una revisión cualitativa. </w:t>
      </w:r>
    </w:p>
    <w:p w14:paraId="69BF1BA4" w14:textId="77777777" w:rsidR="0074651B" w:rsidRPr="0074651B" w:rsidRDefault="00000000" w:rsidP="0074651B">
      <w:pPr>
        <w:pStyle w:val="ListParagraph"/>
        <w:numPr>
          <w:ilvl w:val="0"/>
          <w:numId w:val="14"/>
        </w:num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u w:val="single" w:color="000000"/>
          <w:lang w:val="es-ES"/>
        </w:rPr>
        <w:t xml:space="preserve">Próximos pasos para la revisión cualitativa: </w:t>
      </w:r>
      <w:r w:rsidRPr="0074651B">
        <w:rPr>
          <w:rFonts w:ascii="Avenir Next" w:eastAsia="IBM Plex Sans" w:hAnsi="Avenir Next" w:cs="IBM Plex Sans"/>
          <w:color w:val="000000"/>
          <w:sz w:val="20"/>
          <w:szCs w:val="20"/>
          <w:lang w:val="es-ES"/>
        </w:rPr>
        <w:t xml:space="preserve">para que los usuarios identifiquen los próximos pasos inmediatos que sean relevantes para realizar la revisión cualitativa, incluido el personal clave que debe participar (por ejemplo, un experto legal). </w:t>
      </w:r>
    </w:p>
    <w:p w14:paraId="2A003B1C" w14:textId="7F07CFE2" w:rsidR="006169C8" w:rsidRPr="0074651B" w:rsidRDefault="00000000" w:rsidP="0074651B">
      <w:pPr>
        <w:pStyle w:val="ListParagraph"/>
        <w:numPr>
          <w:ilvl w:val="0"/>
          <w:numId w:val="14"/>
        </w:num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u w:val="single" w:color="000000"/>
          <w:lang w:val="es-ES"/>
        </w:rPr>
        <w:t>Próximos pasos para los casos en los que un elemento NO está implementado:</w:t>
      </w:r>
      <w:r w:rsidRPr="0074651B">
        <w:rPr>
          <w:rFonts w:ascii="Avenir Next" w:eastAsia="IBM Plex Sans" w:hAnsi="Avenir Next" w:cs="IBM Plex Sans"/>
          <w:color w:val="000000"/>
          <w:sz w:val="20"/>
          <w:szCs w:val="20"/>
          <w:lang w:val="es-ES"/>
        </w:rPr>
        <w:t xml:space="preserve"> que los usuarios noten claramente qué elementos NO están implementados y deberán ser considerados en las hojas de ruta de J-REDD+ (Herramienta 8). </w:t>
      </w:r>
    </w:p>
    <w:p w14:paraId="65E8602F" w14:textId="77777777" w:rsidR="006169C8" w:rsidRPr="0074651B" w:rsidRDefault="00000000">
      <w:p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lang w:val="es-ES"/>
        </w:rPr>
        <w:lastRenderedPageBreak/>
        <w:t xml:space="preserve"> </w:t>
      </w:r>
      <w:r w:rsidRPr="0074651B">
        <w:rPr>
          <w:rFonts w:ascii="Avenir Next" w:eastAsia="Canva Sans" w:hAnsi="Avenir Next" w:cs="Canva Sans"/>
          <w:color w:val="000000"/>
          <w:sz w:val="20"/>
          <w:szCs w:val="20"/>
          <w:lang w:val="es-ES"/>
        </w:rPr>
        <w:t xml:space="preserve"> </w:t>
      </w:r>
    </w:p>
    <w:p w14:paraId="1AF54A83" w14:textId="77777777" w:rsidR="00AF1271" w:rsidRPr="0074651B" w:rsidRDefault="00000000">
      <w:pPr>
        <w:spacing w:before="120" w:after="120" w:line="336" w:lineRule="auto"/>
        <w:rPr>
          <w:rFonts w:ascii="Avenir Next" w:hAnsi="Avenir Next"/>
          <w:sz w:val="20"/>
          <w:szCs w:val="20"/>
          <w:lang w:val="es-ES"/>
        </w:rPr>
      </w:pPr>
      <w:r w:rsidRPr="0074651B">
        <w:rPr>
          <w:rFonts w:ascii="Avenir Next" w:eastAsia="IBM Plex Sans" w:hAnsi="Avenir Next" w:cs="IBM Plex Sans"/>
          <w:color w:val="000000"/>
          <w:sz w:val="20"/>
          <w:szCs w:val="20"/>
          <w:lang w:val="es-ES"/>
        </w:rPr>
        <w:t xml:space="preserve"> </w:t>
      </w:r>
      <w:r w:rsidRPr="0074651B">
        <w:rPr>
          <w:rFonts w:ascii="Avenir Next" w:eastAsia="IBM Plex Sans" w:hAnsi="Avenir Next" w:cs="IBM Plex Sans"/>
          <w:color w:val="00646A"/>
          <w:sz w:val="20"/>
          <w:szCs w:val="20"/>
          <w:lang w:val="es-ES"/>
        </w:rPr>
        <w:t xml:space="preserve"> </w:t>
      </w:r>
    </w:p>
    <w:tbl>
      <w:tblPr>
        <w:tblStyle w:val="GridTable1Light"/>
        <w:tblW w:w="4826" w:type="pct"/>
        <w:tblLook w:val="04A0" w:firstRow="1" w:lastRow="0" w:firstColumn="1" w:lastColumn="0" w:noHBand="0" w:noVBand="1"/>
      </w:tblPr>
      <w:tblGrid>
        <w:gridCol w:w="2162"/>
        <w:gridCol w:w="1272"/>
        <w:gridCol w:w="1350"/>
        <w:gridCol w:w="8904"/>
      </w:tblGrid>
      <w:tr w:rsidR="0074651B" w:rsidRPr="0074651B" w14:paraId="30D57EC1" w14:textId="77777777" w:rsidTr="0074651B">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33" w:type="pct"/>
            <w:shd w:val="clear" w:color="auto" w:fill="0E361A"/>
            <w:vAlign w:val="center"/>
          </w:tcPr>
          <w:p w14:paraId="4F3844A1" w14:textId="77777777" w:rsidR="00AF1271" w:rsidRPr="0074651B" w:rsidRDefault="00AF1271" w:rsidP="0074651B">
            <w:pPr>
              <w:spacing w:before="40" w:after="40"/>
              <w:rPr>
                <w:rFonts w:ascii="Bodoni 72 Book" w:hAnsi="Bodoni 72 Book" w:cs="Arial"/>
                <w:b w:val="0"/>
                <w:bCs w:val="0"/>
                <w:color w:val="FF0000"/>
                <w:sz w:val="22"/>
                <w:szCs w:val="22"/>
                <w:lang w:val="es-ES"/>
              </w:rPr>
            </w:pPr>
            <w:r w:rsidRPr="0074651B">
              <w:rPr>
                <w:rFonts w:ascii="Bodoni 72 Book" w:hAnsi="Bodoni 72 Book" w:cs="Arial"/>
                <w:b w:val="0"/>
                <w:bCs w:val="0"/>
                <w:sz w:val="22"/>
                <w:szCs w:val="22"/>
                <w:lang w:val="es-ES"/>
              </w:rPr>
              <w:t>Elemento de Salvaguarda</w:t>
            </w:r>
          </w:p>
        </w:tc>
        <w:tc>
          <w:tcPr>
            <w:tcW w:w="335" w:type="pct"/>
            <w:shd w:val="clear" w:color="auto" w:fill="0E361A"/>
            <w:vAlign w:val="center"/>
          </w:tcPr>
          <w:p w14:paraId="3CADA171" w14:textId="77777777" w:rsidR="00AF1271" w:rsidRPr="0074651B" w:rsidRDefault="00AF1271" w:rsidP="0074651B">
            <w:pPr>
              <w:spacing w:before="40" w:after="40"/>
              <w:cnfStyle w:val="100000000000" w:firstRow="1" w:lastRow="0" w:firstColumn="0" w:lastColumn="0" w:oddVBand="0" w:evenVBand="0" w:oddHBand="0" w:evenHBand="0" w:firstRowFirstColumn="0" w:firstRowLastColumn="0" w:lastRowFirstColumn="0" w:lastRowLastColumn="0"/>
              <w:rPr>
                <w:rFonts w:ascii="Bodoni 72 Book" w:hAnsi="Bodoni 72 Book" w:cs="Arial"/>
                <w:b w:val="0"/>
                <w:bCs w:val="0"/>
                <w:sz w:val="22"/>
                <w:szCs w:val="22"/>
                <w:lang w:val="es-ES"/>
              </w:rPr>
            </w:pPr>
            <w:r w:rsidRPr="0074651B">
              <w:rPr>
                <w:rFonts w:ascii="Bodoni 72 Book" w:hAnsi="Bodoni 72 Book" w:cs="Arial"/>
                <w:b w:val="0"/>
                <w:bCs w:val="0"/>
                <w:sz w:val="22"/>
                <w:szCs w:val="22"/>
                <w:lang w:val="es-ES"/>
              </w:rPr>
              <w:t>¿Está el elemento completado?</w:t>
            </w:r>
          </w:p>
        </w:tc>
        <w:tc>
          <w:tcPr>
            <w:tcW w:w="514" w:type="pct"/>
            <w:shd w:val="clear" w:color="auto" w:fill="0E361A"/>
            <w:vAlign w:val="center"/>
          </w:tcPr>
          <w:p w14:paraId="6C17346E" w14:textId="77777777" w:rsidR="00AF1271" w:rsidRPr="0074651B" w:rsidRDefault="00AF1271" w:rsidP="0074651B">
            <w:pPr>
              <w:spacing w:before="40" w:after="40"/>
              <w:cnfStyle w:val="100000000000" w:firstRow="1" w:lastRow="0" w:firstColumn="0" w:lastColumn="0" w:oddVBand="0" w:evenVBand="0" w:oddHBand="0" w:evenHBand="0" w:firstRowFirstColumn="0" w:firstRowLastColumn="0" w:lastRowFirstColumn="0" w:lastRowLastColumn="0"/>
              <w:rPr>
                <w:rFonts w:ascii="Bodoni 72 Book" w:hAnsi="Bodoni 72 Book" w:cs="Arial"/>
                <w:b w:val="0"/>
                <w:bCs w:val="0"/>
                <w:sz w:val="22"/>
                <w:szCs w:val="22"/>
                <w:lang w:val="es-ES"/>
              </w:rPr>
            </w:pPr>
            <w:r w:rsidRPr="0074651B">
              <w:rPr>
                <w:rFonts w:ascii="Bodoni 72 Book" w:hAnsi="Bodoni 72 Book" w:cs="Arial"/>
                <w:b w:val="0"/>
                <w:bCs w:val="0"/>
                <w:sz w:val="22"/>
                <w:szCs w:val="22"/>
                <w:lang w:val="es-ES"/>
              </w:rPr>
              <w:t>Revisión cualitativa aplicable</w:t>
            </w:r>
          </w:p>
        </w:tc>
        <w:tc>
          <w:tcPr>
            <w:tcW w:w="3318" w:type="pct"/>
            <w:shd w:val="clear" w:color="auto" w:fill="0E361A"/>
            <w:vAlign w:val="center"/>
          </w:tcPr>
          <w:p w14:paraId="51434BA2" w14:textId="77777777" w:rsidR="00AF1271" w:rsidRPr="0074651B" w:rsidRDefault="00AF1271" w:rsidP="0074651B">
            <w:pPr>
              <w:spacing w:before="40" w:after="40"/>
              <w:cnfStyle w:val="100000000000" w:firstRow="1" w:lastRow="0" w:firstColumn="0" w:lastColumn="0" w:oddVBand="0" w:evenVBand="0" w:oddHBand="0" w:evenHBand="0" w:firstRowFirstColumn="0" w:firstRowLastColumn="0" w:lastRowFirstColumn="0" w:lastRowLastColumn="0"/>
              <w:rPr>
                <w:rFonts w:ascii="Bodoni 72 Book" w:hAnsi="Bodoni 72 Book" w:cs="Arial"/>
                <w:b w:val="0"/>
                <w:bCs w:val="0"/>
                <w:sz w:val="22"/>
                <w:szCs w:val="22"/>
                <w:lang w:val="es-ES"/>
              </w:rPr>
            </w:pPr>
            <w:r w:rsidRPr="0074651B">
              <w:rPr>
                <w:rFonts w:ascii="Bodoni 72 Book" w:hAnsi="Bodoni 72 Book" w:cs="Arial"/>
                <w:b w:val="0"/>
                <w:bCs w:val="0"/>
                <w:sz w:val="22"/>
                <w:szCs w:val="22"/>
                <w:lang w:val="es-ES"/>
              </w:rPr>
              <w:t>Próximos pasos para la revisión cualitativa:</w:t>
            </w:r>
          </w:p>
          <w:p w14:paraId="6BB599AD" w14:textId="6E14184D" w:rsidR="00AF1271" w:rsidRPr="0074651B" w:rsidRDefault="00AF1271" w:rsidP="0074651B">
            <w:pPr>
              <w:spacing w:before="40" w:after="40"/>
              <w:cnfStyle w:val="100000000000" w:firstRow="1" w:lastRow="0" w:firstColumn="0" w:lastColumn="0" w:oddVBand="0" w:evenVBand="0" w:oddHBand="0" w:evenHBand="0" w:firstRowFirstColumn="0" w:firstRowLastColumn="0" w:lastRowFirstColumn="0" w:lastRowLastColumn="0"/>
              <w:rPr>
                <w:rFonts w:ascii="Avenir Next" w:hAnsi="Avenir Next" w:cs="Arial"/>
                <w:b w:val="0"/>
                <w:bCs w:val="0"/>
                <w:i/>
                <w:iCs/>
                <w:sz w:val="18"/>
                <w:szCs w:val="18"/>
                <w:lang w:val="es-ES"/>
              </w:rPr>
            </w:pPr>
            <w:r w:rsidRPr="0074651B">
              <w:rPr>
                <w:rFonts w:ascii="Avenir Next" w:hAnsi="Avenir Next" w:cs="Arial"/>
                <w:b w:val="0"/>
                <w:bCs w:val="0"/>
                <w:i/>
                <w:iCs/>
                <w:sz w:val="18"/>
                <w:szCs w:val="18"/>
                <w:lang w:val="es-ES"/>
              </w:rPr>
              <w:t>Personal requerido (por favor confirmar/identificar)</w:t>
            </w:r>
          </w:p>
        </w:tc>
      </w:tr>
      <w:tr w:rsidR="00AF1271" w:rsidRPr="0074651B" w14:paraId="79610830" w14:textId="77777777" w:rsidTr="0074651B">
        <w:trPr>
          <w:trHeight w:val="937"/>
        </w:trPr>
        <w:tc>
          <w:tcPr>
            <w:cnfStyle w:val="001000000000" w:firstRow="0" w:lastRow="0" w:firstColumn="1" w:lastColumn="0" w:oddVBand="0" w:evenVBand="0" w:oddHBand="0" w:evenHBand="0" w:firstRowFirstColumn="0" w:firstRowLastColumn="0" w:lastRowFirstColumn="0" w:lastRowLastColumn="0"/>
            <w:tcW w:w="833" w:type="pct"/>
            <w:shd w:val="clear" w:color="auto" w:fill="68807A"/>
          </w:tcPr>
          <w:p w14:paraId="096C842A" w14:textId="77777777" w:rsidR="00AF1271" w:rsidRPr="0074651B" w:rsidRDefault="00AF1271" w:rsidP="00CE0AF6">
            <w:pPr>
              <w:spacing w:before="40" w:after="40"/>
              <w:rPr>
                <w:rFonts w:ascii="Avenir Next" w:hAnsi="Avenir Next" w:cs="Arial"/>
                <w:b w:val="0"/>
                <w:bCs w:val="0"/>
                <w:sz w:val="20"/>
                <w:szCs w:val="20"/>
                <w:lang w:val="es-ES"/>
              </w:rPr>
            </w:pPr>
            <w:r w:rsidRPr="0074651B">
              <w:rPr>
                <w:rFonts w:ascii="Avenir Next" w:hAnsi="Avenir Next" w:cs="Calibri"/>
                <w:b w:val="0"/>
                <w:bCs w:val="0"/>
                <w:color w:val="000000" w:themeColor="text1"/>
                <w:sz w:val="20"/>
                <w:szCs w:val="20"/>
                <w:lang w:val="es-ES"/>
              </w:rPr>
              <w:t>Sistema de Información de Salvaguardas</w:t>
            </w:r>
          </w:p>
        </w:tc>
        <w:tc>
          <w:tcPr>
            <w:tcW w:w="335" w:type="pct"/>
          </w:tcPr>
          <w:p w14:paraId="2316EEC4" w14:textId="4D40AF74"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w:t>
            </w:r>
          </w:p>
          <w:p w14:paraId="41D28ED3" w14:textId="32AED2F2"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45BE0247"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sz w:val="20"/>
                <w:szCs w:val="20"/>
                <w:lang w:val="es-ES"/>
              </w:rPr>
            </w:pPr>
          </w:p>
        </w:tc>
        <w:tc>
          <w:tcPr>
            <w:tcW w:w="514" w:type="pct"/>
          </w:tcPr>
          <w:p w14:paraId="256A3E87" w14:textId="7F9823FF"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 Ver Herramienta 2</w:t>
            </w:r>
          </w:p>
          <w:p w14:paraId="77ED879F" w14:textId="7E84910B"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6E78E302"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3318" w:type="pct"/>
          </w:tcPr>
          <w:p w14:paraId="2EA9B47F"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Ultra Light" w:hAnsi="Avenir Next Ultra Light" w:cs="Arial"/>
                <w:b/>
                <w:bCs/>
                <w:sz w:val="20"/>
                <w:szCs w:val="20"/>
                <w:lang w:val="es-ES"/>
              </w:rPr>
            </w:pPr>
            <w:r w:rsidRPr="0074651B">
              <w:rPr>
                <w:rFonts w:ascii="Avenir Next Ultra Light" w:hAnsi="Avenir Next Ultra Light" w:cs="Arial"/>
                <w:b/>
                <w:bCs/>
                <w:sz w:val="20"/>
                <w:szCs w:val="20"/>
                <w:lang w:val="es-ES"/>
              </w:rPr>
              <w:t>Personal que participará</w:t>
            </w:r>
          </w:p>
          <w:p w14:paraId="3F7E2DD9"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Personal asignado al programa J-REDD+</w:t>
            </w:r>
          </w:p>
          <w:p w14:paraId="66B1C322"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Experto jurídico nacional</w:t>
            </w:r>
          </w:p>
          <w:p w14:paraId="4C97DF5E"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Otros expertos/organizaciones nacionales: __________________</w:t>
            </w:r>
          </w:p>
        </w:tc>
      </w:tr>
      <w:tr w:rsidR="00AF1271" w:rsidRPr="0074651B" w14:paraId="3D455463" w14:textId="77777777" w:rsidTr="0074651B">
        <w:trPr>
          <w:trHeight w:val="567"/>
        </w:trPr>
        <w:tc>
          <w:tcPr>
            <w:cnfStyle w:val="001000000000" w:firstRow="0" w:lastRow="0" w:firstColumn="1" w:lastColumn="0" w:oddVBand="0" w:evenVBand="0" w:oddHBand="0" w:evenHBand="0" w:firstRowFirstColumn="0" w:firstRowLastColumn="0" w:lastRowFirstColumn="0" w:lastRowLastColumn="0"/>
            <w:tcW w:w="833" w:type="pct"/>
            <w:shd w:val="clear" w:color="auto" w:fill="68807A"/>
          </w:tcPr>
          <w:p w14:paraId="1A8420FC" w14:textId="77777777" w:rsidR="00AF1271" w:rsidRPr="0074651B" w:rsidRDefault="00AF1271" w:rsidP="00CE0AF6">
            <w:pPr>
              <w:spacing w:before="40" w:after="40"/>
              <w:rPr>
                <w:rFonts w:ascii="Avenir Next" w:hAnsi="Avenir Next" w:cs="Calibri"/>
                <w:b w:val="0"/>
                <w:bCs w:val="0"/>
                <w:color w:val="000000" w:themeColor="text1"/>
                <w:sz w:val="20"/>
                <w:szCs w:val="20"/>
                <w:lang w:val="es-ES"/>
              </w:rPr>
            </w:pPr>
            <w:r w:rsidRPr="0074651B">
              <w:rPr>
                <w:rFonts w:ascii="Avenir Next" w:hAnsi="Avenir Next" w:cs="Calibri"/>
                <w:b w:val="0"/>
                <w:bCs w:val="0"/>
                <w:color w:val="000000" w:themeColor="text1"/>
                <w:sz w:val="20"/>
                <w:szCs w:val="20"/>
                <w:lang w:val="es-ES"/>
              </w:rPr>
              <w:t>Arreglos de gobernanza del Programa J-REDD+ que garantizan la aplicación de las salvaguardas REDD+ de la CMNUCC</w:t>
            </w:r>
          </w:p>
          <w:p w14:paraId="59F22DA6" w14:textId="77777777" w:rsidR="00AF1271" w:rsidRPr="0074651B" w:rsidRDefault="00AF1271" w:rsidP="00CE0AF6">
            <w:pPr>
              <w:spacing w:before="40" w:after="40"/>
              <w:rPr>
                <w:rFonts w:ascii="Avenir Next" w:hAnsi="Avenir Next" w:cs="Arial"/>
                <w:b w:val="0"/>
                <w:bCs w:val="0"/>
                <w:sz w:val="20"/>
                <w:szCs w:val="20"/>
                <w:lang w:val="es-ES"/>
              </w:rPr>
            </w:pPr>
          </w:p>
        </w:tc>
        <w:tc>
          <w:tcPr>
            <w:tcW w:w="335" w:type="pct"/>
          </w:tcPr>
          <w:p w14:paraId="3ACE2BCC" w14:textId="572CE5E8"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w:t>
            </w:r>
          </w:p>
          <w:p w14:paraId="1272F991" w14:textId="5E88B6F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5FDCFBF3"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b/>
                <w:bCs/>
                <w:color w:val="FF0000"/>
                <w:sz w:val="20"/>
                <w:szCs w:val="20"/>
                <w:lang w:val="es-ES"/>
              </w:rPr>
            </w:pPr>
          </w:p>
        </w:tc>
        <w:tc>
          <w:tcPr>
            <w:tcW w:w="514" w:type="pct"/>
          </w:tcPr>
          <w:p w14:paraId="3BBA9609" w14:textId="78039CD2"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 Ver Herramienta 3</w:t>
            </w:r>
          </w:p>
          <w:p w14:paraId="001A9B4F" w14:textId="6C4A6219"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17C4D67B"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3318" w:type="pct"/>
          </w:tcPr>
          <w:p w14:paraId="7564E9AC"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Ultra Light" w:hAnsi="Avenir Next Ultra Light" w:cs="Arial"/>
                <w:b/>
                <w:bCs/>
                <w:sz w:val="20"/>
                <w:szCs w:val="20"/>
                <w:lang w:val="es-ES"/>
              </w:rPr>
            </w:pPr>
            <w:r w:rsidRPr="0074651B">
              <w:rPr>
                <w:rFonts w:ascii="Avenir Next Ultra Light" w:hAnsi="Avenir Next Ultra Light" w:cs="Arial"/>
                <w:b/>
                <w:bCs/>
                <w:sz w:val="20"/>
                <w:szCs w:val="20"/>
                <w:lang w:val="es-ES"/>
              </w:rPr>
              <w:t>Personal que participará</w:t>
            </w:r>
          </w:p>
          <w:p w14:paraId="3B657483"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Personal asignado al programa J-REDD+</w:t>
            </w:r>
          </w:p>
          <w:p w14:paraId="3E338966"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Experto jurídico nacional</w:t>
            </w:r>
          </w:p>
          <w:p w14:paraId="5A2AF6A7"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Otros expertos/organizaciones nacionales: __________________</w:t>
            </w:r>
          </w:p>
        </w:tc>
      </w:tr>
      <w:tr w:rsidR="00AF1271" w:rsidRPr="0074651B" w14:paraId="67E80C98" w14:textId="77777777" w:rsidTr="0074651B">
        <w:trPr>
          <w:trHeight w:val="341"/>
        </w:trPr>
        <w:tc>
          <w:tcPr>
            <w:cnfStyle w:val="001000000000" w:firstRow="0" w:lastRow="0" w:firstColumn="1" w:lastColumn="0" w:oddVBand="0" w:evenVBand="0" w:oddHBand="0" w:evenHBand="0" w:firstRowFirstColumn="0" w:firstRowLastColumn="0" w:lastRowFirstColumn="0" w:lastRowLastColumn="0"/>
            <w:tcW w:w="833" w:type="pct"/>
            <w:shd w:val="clear" w:color="auto" w:fill="68807A"/>
          </w:tcPr>
          <w:p w14:paraId="27C32D23" w14:textId="77777777" w:rsidR="00AF1271" w:rsidRPr="0074651B" w:rsidRDefault="00AF1271" w:rsidP="00CE0AF6">
            <w:pPr>
              <w:spacing w:before="40" w:after="40"/>
              <w:rPr>
                <w:rFonts w:ascii="Avenir Next" w:hAnsi="Avenir Next" w:cs="Arial"/>
                <w:b w:val="0"/>
                <w:bCs w:val="0"/>
                <w:sz w:val="20"/>
                <w:szCs w:val="20"/>
                <w:lang w:val="es-ES"/>
              </w:rPr>
            </w:pPr>
            <w:r w:rsidRPr="0074651B">
              <w:rPr>
                <w:rFonts w:ascii="Avenir Next" w:hAnsi="Avenir Next" w:cs="Calibri"/>
                <w:b w:val="0"/>
                <w:bCs w:val="0"/>
                <w:color w:val="000000" w:themeColor="text1"/>
                <w:sz w:val="20"/>
                <w:szCs w:val="20"/>
                <w:lang w:val="es-ES"/>
              </w:rPr>
              <w:t>Plan de distribución de ingresos</w:t>
            </w:r>
          </w:p>
        </w:tc>
        <w:tc>
          <w:tcPr>
            <w:tcW w:w="335" w:type="pct"/>
          </w:tcPr>
          <w:p w14:paraId="05A76306" w14:textId="0744199B"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w:t>
            </w:r>
          </w:p>
          <w:p w14:paraId="018E7F5A" w14:textId="7712ACF8"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52B84C94"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b/>
                <w:bCs/>
                <w:color w:val="FF0000"/>
                <w:sz w:val="20"/>
                <w:szCs w:val="20"/>
                <w:lang w:val="es-ES"/>
              </w:rPr>
            </w:pPr>
          </w:p>
        </w:tc>
        <w:tc>
          <w:tcPr>
            <w:tcW w:w="514" w:type="pct"/>
          </w:tcPr>
          <w:p w14:paraId="035E9C0B" w14:textId="0EE1D2F8"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 Ver Herramienta 4</w:t>
            </w:r>
          </w:p>
          <w:p w14:paraId="5F94FB81" w14:textId="399CC6F6"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718175D4"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3318" w:type="pct"/>
          </w:tcPr>
          <w:p w14:paraId="0E922A6C"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Ultra Light" w:hAnsi="Avenir Next Ultra Light" w:cs="Arial"/>
                <w:b/>
                <w:bCs/>
                <w:sz w:val="20"/>
                <w:szCs w:val="20"/>
                <w:lang w:val="es-ES"/>
              </w:rPr>
            </w:pPr>
            <w:r w:rsidRPr="0074651B">
              <w:rPr>
                <w:rFonts w:ascii="Avenir Next Ultra Light" w:hAnsi="Avenir Next Ultra Light" w:cs="Arial"/>
                <w:b/>
                <w:bCs/>
                <w:sz w:val="20"/>
                <w:szCs w:val="20"/>
                <w:lang w:val="es-ES"/>
              </w:rPr>
              <w:t>Personal que participará</w:t>
            </w:r>
          </w:p>
          <w:p w14:paraId="18723400"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Personal asignado al programa J-REDD+</w:t>
            </w:r>
          </w:p>
          <w:p w14:paraId="70419167"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Experto jurídico nacional</w:t>
            </w:r>
          </w:p>
          <w:p w14:paraId="1E741F78"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Otros expertos/organizaciones nacionales: __________________</w:t>
            </w:r>
          </w:p>
        </w:tc>
      </w:tr>
      <w:tr w:rsidR="00AF1271" w:rsidRPr="0074651B" w14:paraId="330E8BE0" w14:textId="77777777" w:rsidTr="0074651B">
        <w:trPr>
          <w:trHeight w:val="567"/>
        </w:trPr>
        <w:tc>
          <w:tcPr>
            <w:cnfStyle w:val="001000000000" w:firstRow="0" w:lastRow="0" w:firstColumn="1" w:lastColumn="0" w:oddVBand="0" w:evenVBand="0" w:oddHBand="0" w:evenHBand="0" w:firstRowFirstColumn="0" w:firstRowLastColumn="0" w:lastRowFirstColumn="0" w:lastRowLastColumn="0"/>
            <w:tcW w:w="833" w:type="pct"/>
            <w:shd w:val="clear" w:color="auto" w:fill="68807A"/>
          </w:tcPr>
          <w:p w14:paraId="4C38006E" w14:textId="387DAA4A" w:rsidR="00AF1271" w:rsidRPr="0074651B" w:rsidRDefault="00AF1271" w:rsidP="00CE0AF6">
            <w:pPr>
              <w:spacing w:before="40" w:after="40"/>
              <w:rPr>
                <w:rFonts w:ascii="Avenir Next" w:hAnsi="Avenir Next" w:cs="Arial"/>
                <w:b w:val="0"/>
                <w:bCs w:val="0"/>
                <w:sz w:val="20"/>
                <w:szCs w:val="20"/>
                <w:lang w:val="es-ES"/>
              </w:rPr>
            </w:pPr>
            <w:r w:rsidRPr="0074651B">
              <w:rPr>
                <w:rFonts w:ascii="Avenir Next" w:hAnsi="Avenir Next" w:cs="Calibri"/>
                <w:b w:val="0"/>
                <w:bCs w:val="0"/>
                <w:color w:val="000000" w:themeColor="text1"/>
                <w:sz w:val="20"/>
                <w:szCs w:val="20"/>
                <w:lang w:val="es-ES"/>
              </w:rPr>
              <w:t xml:space="preserve">Mecanismo de reparación de </w:t>
            </w:r>
            <w:r w:rsidR="00763585">
              <w:rPr>
                <w:rFonts w:ascii="Avenir Next" w:hAnsi="Avenir Next" w:cs="Calibri"/>
                <w:b w:val="0"/>
                <w:bCs w:val="0"/>
                <w:color w:val="000000" w:themeColor="text1"/>
                <w:sz w:val="20"/>
                <w:szCs w:val="20"/>
                <w:lang w:val="es-ES"/>
              </w:rPr>
              <w:t>quejas</w:t>
            </w:r>
          </w:p>
        </w:tc>
        <w:tc>
          <w:tcPr>
            <w:tcW w:w="335" w:type="pct"/>
          </w:tcPr>
          <w:p w14:paraId="1B75544E" w14:textId="265DC424"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w:t>
            </w:r>
          </w:p>
          <w:p w14:paraId="7F2FEDBA" w14:textId="21195C9B"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6CBFFE04"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b/>
                <w:bCs/>
                <w:color w:val="FF0000"/>
                <w:sz w:val="20"/>
                <w:szCs w:val="20"/>
                <w:lang w:val="es-ES"/>
              </w:rPr>
            </w:pPr>
          </w:p>
        </w:tc>
        <w:tc>
          <w:tcPr>
            <w:tcW w:w="514" w:type="pct"/>
          </w:tcPr>
          <w:p w14:paraId="1C80CCA0" w14:textId="1ADAEF0C"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 Ver Herramienta 5</w:t>
            </w:r>
          </w:p>
          <w:p w14:paraId="1436E2A1" w14:textId="0EB686F5"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18A0FF6D"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3318" w:type="pct"/>
          </w:tcPr>
          <w:p w14:paraId="7373B044"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Ultra Light" w:hAnsi="Avenir Next Ultra Light" w:cs="Arial"/>
                <w:b/>
                <w:bCs/>
                <w:sz w:val="20"/>
                <w:szCs w:val="20"/>
                <w:lang w:val="es-ES"/>
              </w:rPr>
            </w:pPr>
            <w:r w:rsidRPr="0074651B">
              <w:rPr>
                <w:rFonts w:ascii="Avenir Next Ultra Light" w:hAnsi="Avenir Next Ultra Light" w:cs="Arial"/>
                <w:b/>
                <w:bCs/>
                <w:sz w:val="20"/>
                <w:szCs w:val="20"/>
                <w:lang w:val="es-ES"/>
              </w:rPr>
              <w:t>Personal que participará</w:t>
            </w:r>
          </w:p>
          <w:p w14:paraId="383E1F55"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Personal asignado al programa J-REDD+</w:t>
            </w:r>
          </w:p>
          <w:p w14:paraId="4244D8AB"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Experto jurídico nacional</w:t>
            </w:r>
          </w:p>
          <w:p w14:paraId="6638FB53"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Otros expertos/organizaciones nacionales: __________________</w:t>
            </w:r>
          </w:p>
        </w:tc>
      </w:tr>
      <w:tr w:rsidR="00AF1271" w:rsidRPr="0074651B" w14:paraId="035779CA" w14:textId="77777777" w:rsidTr="0074651B">
        <w:trPr>
          <w:trHeight w:val="567"/>
        </w:trPr>
        <w:tc>
          <w:tcPr>
            <w:cnfStyle w:val="001000000000" w:firstRow="0" w:lastRow="0" w:firstColumn="1" w:lastColumn="0" w:oddVBand="0" w:evenVBand="0" w:oddHBand="0" w:evenHBand="0" w:firstRowFirstColumn="0" w:firstRowLastColumn="0" w:lastRowFirstColumn="0" w:lastRowLastColumn="0"/>
            <w:tcW w:w="833" w:type="pct"/>
            <w:shd w:val="clear" w:color="auto" w:fill="68807A"/>
          </w:tcPr>
          <w:p w14:paraId="5018D95B" w14:textId="77777777" w:rsidR="00AF1271" w:rsidRPr="0074651B" w:rsidRDefault="00AF1271" w:rsidP="00CE0AF6">
            <w:pPr>
              <w:spacing w:before="40" w:after="40"/>
              <w:rPr>
                <w:rFonts w:ascii="Avenir Next" w:hAnsi="Avenir Next" w:cs="Arial"/>
                <w:b w:val="0"/>
                <w:bCs w:val="0"/>
                <w:sz w:val="20"/>
                <w:szCs w:val="20"/>
                <w:lang w:val="es-ES"/>
              </w:rPr>
            </w:pPr>
            <w:r w:rsidRPr="0074651B">
              <w:rPr>
                <w:rFonts w:ascii="Avenir Next" w:hAnsi="Avenir Next" w:cs="Calibri"/>
                <w:b w:val="0"/>
                <w:bCs w:val="0"/>
                <w:color w:val="000000" w:themeColor="text1"/>
                <w:sz w:val="20"/>
                <w:szCs w:val="20"/>
                <w:lang w:val="es-ES"/>
              </w:rPr>
              <w:lastRenderedPageBreak/>
              <w:t>Enfoques participativos del programa J-REDD+</w:t>
            </w:r>
          </w:p>
        </w:tc>
        <w:tc>
          <w:tcPr>
            <w:tcW w:w="335" w:type="pct"/>
          </w:tcPr>
          <w:p w14:paraId="64574EC0" w14:textId="2F4485D6"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w:t>
            </w:r>
          </w:p>
          <w:p w14:paraId="0474FBAA" w14:textId="1EDDFE0A"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16E7490E"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514" w:type="pct"/>
          </w:tcPr>
          <w:p w14:paraId="41EA5C94" w14:textId="5C6329DC"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 Ver Herramienta 6</w:t>
            </w:r>
          </w:p>
          <w:p w14:paraId="56EE5FF9" w14:textId="637EEC1B"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11E4B4DE"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3318" w:type="pct"/>
          </w:tcPr>
          <w:p w14:paraId="0DFB6139"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Ultra Light" w:hAnsi="Avenir Next Ultra Light" w:cs="Arial"/>
                <w:b/>
                <w:bCs/>
                <w:sz w:val="20"/>
                <w:szCs w:val="20"/>
                <w:lang w:val="es-ES"/>
              </w:rPr>
            </w:pPr>
            <w:r w:rsidRPr="0074651B">
              <w:rPr>
                <w:rFonts w:ascii="Avenir Next Ultra Light" w:hAnsi="Avenir Next Ultra Light" w:cs="Arial"/>
                <w:b/>
                <w:bCs/>
                <w:sz w:val="20"/>
                <w:szCs w:val="20"/>
                <w:lang w:val="es-ES"/>
              </w:rPr>
              <w:t>Personal que participará</w:t>
            </w:r>
          </w:p>
          <w:p w14:paraId="7FCD8080"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Personal asignado al programa J-REDD+</w:t>
            </w:r>
          </w:p>
          <w:p w14:paraId="09C7A291"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Experto jurídico nacional</w:t>
            </w:r>
          </w:p>
          <w:p w14:paraId="4AB45616"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Otros expertos/organizaciones nacionales: __________________</w:t>
            </w:r>
          </w:p>
        </w:tc>
      </w:tr>
      <w:tr w:rsidR="00AF1271" w:rsidRPr="0074651B" w14:paraId="4253E7D9" w14:textId="77777777" w:rsidTr="0074651B">
        <w:trPr>
          <w:trHeight w:val="567"/>
        </w:trPr>
        <w:tc>
          <w:tcPr>
            <w:cnfStyle w:val="001000000000" w:firstRow="0" w:lastRow="0" w:firstColumn="1" w:lastColumn="0" w:oddVBand="0" w:evenVBand="0" w:oddHBand="0" w:evenHBand="0" w:firstRowFirstColumn="0" w:firstRowLastColumn="0" w:lastRowFirstColumn="0" w:lastRowLastColumn="0"/>
            <w:tcW w:w="833" w:type="pct"/>
            <w:shd w:val="clear" w:color="auto" w:fill="68807A"/>
          </w:tcPr>
          <w:p w14:paraId="4DE7EE28" w14:textId="77777777" w:rsidR="00AF1271" w:rsidRPr="0074651B" w:rsidRDefault="00AF1271" w:rsidP="00CE0AF6">
            <w:pPr>
              <w:spacing w:before="40" w:after="40"/>
              <w:rPr>
                <w:rFonts w:ascii="Avenir Next" w:hAnsi="Avenir Next" w:cs="Arial"/>
                <w:b w:val="0"/>
                <w:bCs w:val="0"/>
                <w:sz w:val="20"/>
                <w:szCs w:val="20"/>
                <w:lang w:val="es-ES"/>
              </w:rPr>
            </w:pPr>
            <w:r w:rsidRPr="0074651B">
              <w:rPr>
                <w:rFonts w:ascii="Avenir Next" w:hAnsi="Avenir Next" w:cs="Calibri"/>
                <w:b w:val="0"/>
                <w:bCs w:val="0"/>
                <w:color w:val="000000" w:themeColor="text1"/>
                <w:sz w:val="20"/>
                <w:szCs w:val="20"/>
                <w:lang w:val="es-ES"/>
              </w:rPr>
              <w:t>Resumen de la Información</w:t>
            </w:r>
          </w:p>
        </w:tc>
        <w:tc>
          <w:tcPr>
            <w:tcW w:w="335" w:type="pct"/>
          </w:tcPr>
          <w:p w14:paraId="55A86213" w14:textId="2A31A508"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w:t>
            </w:r>
          </w:p>
          <w:p w14:paraId="37C7622C" w14:textId="241D17C1"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770E01B4"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514" w:type="pct"/>
          </w:tcPr>
          <w:p w14:paraId="6F6460C8" w14:textId="26471C3D"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Si – Ver Herramienta 7</w:t>
            </w:r>
          </w:p>
          <w:p w14:paraId="78E1C560" w14:textId="2C88F9B0"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eastAsia="MS Gothic" w:hAnsi="Segoe UI Symbol" w:cs="Segoe UI Symbol"/>
                <w:sz w:val="20"/>
                <w:szCs w:val="20"/>
                <w:lang w:val="es-ES"/>
              </w:rPr>
              <w:t>☐</w:t>
            </w:r>
            <w:r w:rsidRPr="0074651B">
              <w:rPr>
                <w:rFonts w:ascii="Avenir Next" w:hAnsi="Avenir Next" w:cs="Arial"/>
                <w:sz w:val="20"/>
                <w:szCs w:val="20"/>
                <w:lang w:val="es-ES"/>
              </w:rPr>
              <w:t xml:space="preserve"> No</w:t>
            </w:r>
          </w:p>
          <w:p w14:paraId="085DE34C"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c>
          <w:tcPr>
            <w:tcW w:w="3318" w:type="pct"/>
          </w:tcPr>
          <w:p w14:paraId="14E591FC"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Ultra Light" w:hAnsi="Avenir Next Ultra Light" w:cs="Arial"/>
                <w:b/>
                <w:bCs/>
                <w:sz w:val="20"/>
                <w:szCs w:val="20"/>
                <w:lang w:val="es-ES"/>
              </w:rPr>
            </w:pPr>
            <w:r w:rsidRPr="0074651B">
              <w:rPr>
                <w:rFonts w:ascii="Avenir Next Ultra Light" w:hAnsi="Avenir Next Ultra Light" w:cs="Arial"/>
                <w:b/>
                <w:bCs/>
                <w:sz w:val="20"/>
                <w:szCs w:val="20"/>
                <w:lang w:val="es-ES"/>
              </w:rPr>
              <w:t>Personal que participará</w:t>
            </w:r>
          </w:p>
          <w:p w14:paraId="461E2CF0"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Personal asignado al programa J-REDD+</w:t>
            </w:r>
          </w:p>
          <w:p w14:paraId="0EAEDC77"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Experto jurídico nacional</w:t>
            </w:r>
          </w:p>
          <w:p w14:paraId="654C7C92" w14:textId="77777777" w:rsidR="00AF1271" w:rsidRPr="0074651B" w:rsidRDefault="00AF1271" w:rsidP="00CE0AF6">
            <w:pPr>
              <w:spacing w:before="40" w:after="40"/>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r w:rsidRPr="0074651B">
              <w:rPr>
                <w:rFonts w:ascii="Segoe UI Symbol" w:hAnsi="Segoe UI Symbol" w:cs="Segoe UI Symbol"/>
                <w:sz w:val="20"/>
                <w:szCs w:val="20"/>
                <w:lang w:val="es-ES"/>
              </w:rPr>
              <w:t>☐</w:t>
            </w:r>
            <w:r w:rsidRPr="0074651B">
              <w:rPr>
                <w:rFonts w:ascii="Avenir Next" w:hAnsi="Avenir Next" w:cs="Arial"/>
                <w:sz w:val="20"/>
                <w:szCs w:val="20"/>
                <w:lang w:val="es-ES"/>
              </w:rPr>
              <w:t xml:space="preserve"> Otros expertos/organizaciones nacionales: __________________</w:t>
            </w:r>
          </w:p>
        </w:tc>
      </w:tr>
      <w:tr w:rsidR="00AF1271" w:rsidRPr="0074651B" w14:paraId="44D05DBF" w14:textId="77777777" w:rsidTr="0074651B">
        <w:trPr>
          <w:trHeight w:val="269"/>
        </w:trPr>
        <w:tc>
          <w:tcPr>
            <w:cnfStyle w:val="001000000000" w:firstRow="0" w:lastRow="0" w:firstColumn="1" w:lastColumn="0" w:oddVBand="0" w:evenVBand="0" w:oddHBand="0" w:evenHBand="0" w:firstRowFirstColumn="0" w:firstRowLastColumn="0" w:lastRowFirstColumn="0" w:lastRowLastColumn="0"/>
            <w:tcW w:w="833" w:type="pct"/>
            <w:shd w:val="clear" w:color="auto" w:fill="68807A"/>
          </w:tcPr>
          <w:p w14:paraId="27F23E82" w14:textId="77777777" w:rsidR="00AF1271" w:rsidRPr="0074651B" w:rsidRDefault="00AF1271" w:rsidP="00CE0AF6">
            <w:pPr>
              <w:spacing w:before="40" w:after="40"/>
              <w:rPr>
                <w:rFonts w:ascii="Avenir Next" w:hAnsi="Avenir Next" w:cs="Arial"/>
                <w:b w:val="0"/>
                <w:bCs w:val="0"/>
                <w:sz w:val="20"/>
                <w:szCs w:val="20"/>
                <w:lang w:val="es-ES"/>
              </w:rPr>
            </w:pPr>
            <w:r w:rsidRPr="0074651B">
              <w:rPr>
                <w:rFonts w:ascii="Avenir Next" w:hAnsi="Avenir Next" w:cs="Arial"/>
                <w:b w:val="0"/>
                <w:bCs w:val="0"/>
                <w:sz w:val="20"/>
                <w:szCs w:val="20"/>
                <w:lang w:val="es-ES"/>
              </w:rPr>
              <w:t>Próximos pasos si un elemento NO está en su lugar</w:t>
            </w:r>
          </w:p>
          <w:p w14:paraId="1354D06E" w14:textId="77777777" w:rsidR="00AF1271" w:rsidRPr="0074651B" w:rsidRDefault="00AF1271" w:rsidP="00CE0AF6">
            <w:pPr>
              <w:spacing w:before="40" w:after="40"/>
              <w:rPr>
                <w:rFonts w:ascii="Avenir Next" w:hAnsi="Avenir Next" w:cs="Arial"/>
                <w:b w:val="0"/>
                <w:bCs w:val="0"/>
                <w:sz w:val="20"/>
                <w:szCs w:val="20"/>
                <w:lang w:val="es-ES"/>
              </w:rPr>
            </w:pPr>
            <w:r w:rsidRPr="0074651B">
              <w:rPr>
                <w:rFonts w:ascii="Avenir Next" w:hAnsi="Avenir Next" w:cs="Arial"/>
                <w:b w:val="0"/>
                <w:bCs w:val="0"/>
                <w:sz w:val="20"/>
                <w:szCs w:val="20"/>
                <w:lang w:val="es-ES"/>
              </w:rPr>
              <w:t xml:space="preserve"> </w:t>
            </w:r>
          </w:p>
        </w:tc>
        <w:tc>
          <w:tcPr>
            <w:tcW w:w="4167" w:type="pct"/>
            <w:gridSpan w:val="3"/>
          </w:tcPr>
          <w:p w14:paraId="37CCBF36" w14:textId="77777777" w:rsidR="00AF1271" w:rsidRPr="0074651B" w:rsidRDefault="00AF1271" w:rsidP="00CE0AF6">
            <w:pPr>
              <w:cnfStyle w:val="000000000000" w:firstRow="0" w:lastRow="0" w:firstColumn="0" w:lastColumn="0" w:oddVBand="0" w:evenVBand="0" w:oddHBand="0" w:evenHBand="0" w:firstRowFirstColumn="0" w:firstRowLastColumn="0" w:lastRowFirstColumn="0" w:lastRowLastColumn="0"/>
              <w:rPr>
                <w:rFonts w:ascii="Avenir Next" w:hAnsi="Avenir Next" w:cs="Arial"/>
                <w:sz w:val="20"/>
                <w:szCs w:val="20"/>
                <w:lang w:val="es-ES"/>
              </w:rPr>
            </w:pPr>
          </w:p>
        </w:tc>
      </w:tr>
    </w:tbl>
    <w:p w14:paraId="1EBEE210" w14:textId="5F85615E" w:rsidR="006169C8" w:rsidRPr="0074651B" w:rsidRDefault="006169C8">
      <w:pPr>
        <w:spacing w:before="120" w:after="120" w:line="336" w:lineRule="auto"/>
        <w:rPr>
          <w:rFonts w:ascii="Avenir Next" w:hAnsi="Avenir Next"/>
          <w:sz w:val="20"/>
          <w:szCs w:val="20"/>
        </w:rPr>
      </w:pPr>
    </w:p>
    <w:sectPr w:rsidR="006169C8" w:rsidRPr="0074651B" w:rsidSect="00F42EF7">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CC3AE" w14:textId="77777777" w:rsidR="00550E01" w:rsidRDefault="00550E01" w:rsidP="00AF1271">
      <w:r>
        <w:separator/>
      </w:r>
    </w:p>
  </w:endnote>
  <w:endnote w:type="continuationSeparator" w:id="0">
    <w:p w14:paraId="69707BE7" w14:textId="77777777" w:rsidR="00550E01" w:rsidRDefault="00550E01" w:rsidP="00AF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A2392F72-DB83-4F46-8263-1867627AE6EC}"/>
  </w:font>
  <w:font w:name="Times New Roman">
    <w:panose1 w:val="02020603050405020304"/>
    <w:charset w:val="00"/>
    <w:family w:val="roman"/>
    <w:pitch w:val="variable"/>
    <w:sig w:usb0="E0002EFF" w:usb1="C000785B" w:usb2="00000009" w:usb3="00000000" w:csb0="000001FF" w:csb1="00000000"/>
    <w:embedRegular r:id="rId2" w:fontKey="{93F6D925-5BB9-6A48-8F55-BDE3942F3B04}"/>
    <w:embedBold r:id="rId3" w:fontKey="{B7523A3F-2D1E-234A-BEF4-A8AB8C93511D}"/>
    <w:embedItalic r:id="rId4" w:fontKey="{FE23F2BE-D4B1-0441-8556-A8C9E941EEA7}"/>
  </w:font>
  <w:font w:name="Courier New">
    <w:panose1 w:val="02070309020205020404"/>
    <w:charset w:val="00"/>
    <w:family w:val="modern"/>
    <w:pitch w:val="fixed"/>
    <w:sig w:usb0="E0002EFF" w:usb1="C0007843" w:usb2="00000009" w:usb3="00000000" w:csb0="000001FF" w:csb1="00000000"/>
    <w:embedRegular r:id="rId5" w:fontKey="{19B44396-78A9-D64D-BD74-922F37D7E661}"/>
  </w:font>
  <w:font w:name="Wingdings">
    <w:panose1 w:val="05000000000000000000"/>
    <w:charset w:val="4D"/>
    <w:family w:val="decorative"/>
    <w:pitch w:val="variable"/>
    <w:sig w:usb0="00000003" w:usb1="00000000" w:usb2="00000000" w:usb3="00000000" w:csb0="80000001" w:csb1="00000000"/>
    <w:embedRegular r:id="rId6" w:fontKey="{4B6166A7-4DAE-7548-87EC-C8257AACF52B}"/>
  </w:font>
  <w:font w:name="Bodoni 72 Book">
    <w:altName w:val="BODONI 72 BOOK"/>
    <w:panose1 w:val="00000400000000000000"/>
    <w:charset w:val="00"/>
    <w:family w:val="auto"/>
    <w:pitch w:val="variable"/>
    <w:sig w:usb0="00000003" w:usb1="00000000" w:usb2="00000000" w:usb3="00000000" w:csb0="00000001" w:csb1="00000000"/>
    <w:embedRegular r:id="rId7" w:fontKey="{C076FBB9-1AF3-3F4C-A347-689FDC658F45}"/>
  </w:font>
  <w:font w:name="Calibri">
    <w:panose1 w:val="020F0502020204030204"/>
    <w:charset w:val="00"/>
    <w:family w:val="swiss"/>
    <w:pitch w:val="variable"/>
    <w:sig w:usb0="E4002EFF" w:usb1="C200247B" w:usb2="00000009" w:usb3="00000000" w:csb0="000001FF" w:csb1="00000000"/>
    <w:embedRegular r:id="rId8" w:fontKey="{4C017AE5-0346-FD44-8DB5-C340BC256DDC}"/>
    <w:embedBold r:id="rId9" w:fontKey="{30C30892-C2DB-BB4B-AC60-53518F4EBE45}"/>
    <w:embedItalic r:id="rId10" w:fontKey="{FDA87B67-D235-4D42-A35D-6875960B1D49}"/>
  </w:font>
  <w:font w:name="Arial">
    <w:panose1 w:val="020B0604020202020204"/>
    <w:charset w:val="00"/>
    <w:family w:val="swiss"/>
    <w:pitch w:val="variable"/>
    <w:sig w:usb0="E0002EFF" w:usb1="C000785B" w:usb2="00000009" w:usb3="00000000" w:csb0="000001FF" w:csb1="00000000"/>
    <w:embedRegular r:id="rId11" w:fontKey="{94CCA06C-D204-8F45-B3FF-84B629D3CE68}"/>
    <w:embedBold r:id="rId12" w:fontKey="{236B72E5-5E67-484A-B3D1-3F0A38454674}"/>
    <w:embedItalic r:id="rId13" w:fontKey="{71A66A28-AB1C-254B-AE71-FF8E6DD775C6}"/>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5" w:fontKey="{98C5D890-9A54-304E-9970-8CF61AC5FDC4}"/>
    <w:embedBold r:id="rId16" w:fontKey="{B800F36A-79DB-E04B-902A-53E868C4AE37}"/>
    <w:embedItalic r:id="rId17" w:fontKey="{B8287638-5F96-5E41-B526-31236A086F14}"/>
  </w:font>
  <w:font w:name="Montserrat">
    <w:panose1 w:val="00000500000000000000"/>
    <w:charset w:val="4D"/>
    <w:family w:val="auto"/>
    <w:pitch w:val="variable"/>
    <w:sig w:usb0="2000020F" w:usb1="00000003" w:usb2="00000000" w:usb3="00000000" w:csb0="00000197" w:csb1="00000000"/>
    <w:embedRegular r:id="rId18" w:fontKey="{5DC99014-AD9E-ED44-A00E-D11CAAAC4638}"/>
    <w:embedBold r:id="rId19" w:fontKey="{AC9FF594-B317-6749-AA7D-ABA4D1FB805B}"/>
  </w:font>
  <w:font w:name="IBM Plex Sans">
    <w:panose1 w:val="020B0503050203000203"/>
    <w:charset w:val="00"/>
    <w:family w:val="swiss"/>
    <w:pitch w:val="variable"/>
    <w:sig w:usb0="A00002EF" w:usb1="5000207B" w:usb2="00000000" w:usb3="00000000" w:csb0="0000019F" w:csb1="00000000"/>
    <w:embedRegular r:id="rId20" w:fontKey="{A2C926E4-D5DC-8F4C-9276-951C567CF01A}"/>
    <w:embedBold r:id="rId21" w:fontKey="{56FA8835-B2C1-0647-9E59-9CB3D198A581}"/>
    <w:embedItalic r:id="rId22" w:fontKey="{5F96ADA1-32C7-024A-BA31-BD6C2FB2E0FD}"/>
  </w:font>
  <w:font w:name="Avenir Next Ultra Light">
    <w:panose1 w:val="020B0203020202020204"/>
    <w:charset w:val="4D"/>
    <w:family w:val="swiss"/>
    <w:pitch w:val="variable"/>
    <w:sig w:usb0="800000AF" w:usb1="5000204A" w:usb2="00000000" w:usb3="00000000" w:csb0="0000009B" w:csb1="00000000"/>
    <w:embedBold r:id="rId23" w:fontKey="{1AA148B8-7FFF-5442-87E0-3B6F39F208BA}"/>
    <w:embedItalic r:id="rId24" w:fontKey="{A10F5FE5-CBE8-534E-ABB4-247337CFE397}"/>
  </w:font>
  <w:font w:name="IBM Plex Sans Bold">
    <w:panose1 w:val="020B0604020202020204"/>
    <w:charset w:val="00"/>
    <w:family w:val="auto"/>
    <w:pitch w:val="default"/>
  </w:font>
  <w:font w:name="Canva San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27" w:fontKey="{AD5F0A9F-BC23-0F44-BE73-56999B6212F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28" w:fontKey="{A671C170-376C-BF42-9F4A-F60632AE95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AA1B4" w14:textId="77777777" w:rsidR="00550E01" w:rsidRDefault="00550E01" w:rsidP="00AF1271">
      <w:r>
        <w:separator/>
      </w:r>
    </w:p>
  </w:footnote>
  <w:footnote w:type="continuationSeparator" w:id="0">
    <w:p w14:paraId="1D3C02DE" w14:textId="77777777" w:rsidR="00550E01" w:rsidRDefault="00550E01" w:rsidP="00AF1271">
      <w:r>
        <w:continuationSeparator/>
      </w:r>
    </w:p>
  </w:footnote>
  <w:footnote w:id="1">
    <w:p w14:paraId="63A986C1" w14:textId="77777777" w:rsidR="00AF1271" w:rsidRPr="00AF1271" w:rsidRDefault="00AF1271" w:rsidP="00AF1271">
      <w:pPr>
        <w:pStyle w:val="FootnoteText"/>
        <w:rPr>
          <w:rFonts w:ascii="Avenir Next" w:hAnsi="Avenir Next"/>
          <w:sz w:val="14"/>
          <w:szCs w:val="14"/>
        </w:rPr>
      </w:pPr>
      <w:r w:rsidRPr="00AF1271">
        <w:rPr>
          <w:rStyle w:val="FootnoteReference"/>
          <w:rFonts w:ascii="Avenir Next" w:hAnsi="Avenir Next"/>
          <w:sz w:val="14"/>
          <w:szCs w:val="14"/>
        </w:rPr>
        <w:footnoteRef/>
      </w:r>
      <w:r w:rsidRPr="00AF1271">
        <w:rPr>
          <w:rFonts w:ascii="Avenir Next" w:hAnsi="Avenir Next"/>
          <w:sz w:val="14"/>
          <w:szCs w:val="14"/>
        </w:rPr>
        <w:t xml:space="preserve"> A los efectos de esta herramienta, se entiende que los arreglos institucionales para el SIS son una determinación clara de “quién” [es decir una sola institución gubernamental y/o una combinación de actores gubernamentales y no gubernamentales] participarán en el funcionamiento del SIS y en el desempeño de las diferentes funciones del SIS, así como en la forma en que se llevarán a cabo dichas funciones.</w:t>
      </w:r>
    </w:p>
  </w:footnote>
  <w:footnote w:id="2">
    <w:p w14:paraId="79A37539" w14:textId="77777777" w:rsidR="00AF1271" w:rsidRPr="0074651B" w:rsidRDefault="00AF1271" w:rsidP="00AF1271">
      <w:pPr>
        <w:pStyle w:val="FootnoteText"/>
        <w:rPr>
          <w:rFonts w:ascii="Avenir Next" w:hAnsi="Avenir Next"/>
          <w:sz w:val="14"/>
          <w:szCs w:val="14"/>
        </w:rPr>
      </w:pPr>
      <w:r w:rsidRPr="0074651B">
        <w:rPr>
          <w:rStyle w:val="FootnoteReference"/>
          <w:rFonts w:ascii="Avenir Next" w:hAnsi="Avenir Next"/>
          <w:sz w:val="14"/>
          <w:szCs w:val="14"/>
        </w:rPr>
        <w:footnoteRef/>
      </w:r>
      <w:r w:rsidRPr="0074651B">
        <w:rPr>
          <w:rFonts w:ascii="Avenir Next" w:hAnsi="Avenir Next"/>
          <w:sz w:val="14"/>
          <w:szCs w:val="14"/>
        </w:rPr>
        <w:t xml:space="preserve"> </w:t>
      </w:r>
      <w:r w:rsidRPr="0074651B">
        <w:rPr>
          <w:rFonts w:ascii="Avenir Next" w:hAnsi="Avenir Next"/>
          <w:b/>
          <w:bCs/>
          <w:sz w:val="14"/>
          <w:szCs w:val="14"/>
        </w:rPr>
        <w:t>Nota:</w:t>
      </w:r>
      <w:r w:rsidRPr="0074651B">
        <w:rPr>
          <w:rFonts w:ascii="Avenir Next" w:hAnsi="Avenir Next"/>
          <w:sz w:val="14"/>
          <w:szCs w:val="14"/>
        </w:rPr>
        <w:t xml:space="preserve"> esta información podría proporcionarse en el SOI y/o la Estrategia REDD+</w:t>
      </w:r>
    </w:p>
  </w:footnote>
  <w:footnote w:id="3">
    <w:p w14:paraId="0ED5071E" w14:textId="77777777" w:rsidR="00AF1271" w:rsidRDefault="00AF1271" w:rsidP="00AF1271">
      <w:pPr>
        <w:pStyle w:val="FootnoteText"/>
      </w:pPr>
      <w:r w:rsidRPr="0074651B">
        <w:rPr>
          <w:rStyle w:val="FootnoteReference"/>
          <w:rFonts w:ascii="Avenir Next" w:hAnsi="Avenir Next"/>
          <w:sz w:val="14"/>
          <w:szCs w:val="14"/>
        </w:rPr>
        <w:footnoteRef/>
      </w:r>
      <w:r w:rsidRPr="0074651B">
        <w:rPr>
          <w:rFonts w:ascii="Avenir Next" w:hAnsi="Avenir Next"/>
          <w:sz w:val="14"/>
          <w:szCs w:val="14"/>
        </w:rPr>
        <w:t xml:space="preserve"> </w:t>
      </w:r>
      <w:r w:rsidRPr="0074651B">
        <w:rPr>
          <w:rFonts w:ascii="Avenir Next" w:hAnsi="Avenir Next"/>
          <w:b/>
          <w:bCs/>
          <w:sz w:val="14"/>
          <w:szCs w:val="14"/>
        </w:rPr>
        <w:t xml:space="preserve">Nota: </w:t>
      </w:r>
      <w:r w:rsidRPr="0074651B">
        <w:rPr>
          <w:rFonts w:ascii="Avenir Next" w:hAnsi="Avenir Next"/>
          <w:sz w:val="14"/>
          <w:szCs w:val="14"/>
        </w:rPr>
        <w:t>esta información podría proporcionarse en el SOI y/o la Estrategia REDD+</w:t>
      </w:r>
    </w:p>
  </w:footnote>
  <w:footnote w:id="4">
    <w:p w14:paraId="1D7EC3AC" w14:textId="73355883" w:rsidR="00AF1271" w:rsidRPr="0074651B" w:rsidRDefault="00AF1271" w:rsidP="00AF1271">
      <w:pPr>
        <w:pStyle w:val="FootnoteText"/>
        <w:rPr>
          <w:rFonts w:ascii="Avenir Next" w:hAnsi="Avenir Next"/>
          <w:sz w:val="14"/>
          <w:szCs w:val="14"/>
        </w:rPr>
      </w:pPr>
      <w:r w:rsidRPr="0074651B">
        <w:rPr>
          <w:rStyle w:val="FootnoteReference"/>
          <w:rFonts w:ascii="Avenir Next" w:hAnsi="Avenir Next"/>
          <w:sz w:val="14"/>
          <w:szCs w:val="14"/>
        </w:rPr>
        <w:footnoteRef/>
      </w:r>
      <w:r w:rsidRPr="0074651B">
        <w:rPr>
          <w:rFonts w:ascii="Avenir Next" w:hAnsi="Avenir Next"/>
          <w:sz w:val="14"/>
          <w:szCs w:val="14"/>
        </w:rPr>
        <w:t xml:space="preserve"> </w:t>
      </w:r>
      <w:r w:rsidR="00763585" w:rsidRPr="00763585">
        <w:rPr>
          <w:rFonts w:ascii="Avenir Next" w:hAnsi="Avenir Next"/>
          <w:sz w:val="14"/>
          <w:szCs w:val="14"/>
        </w:rPr>
        <w:t>Algunas jurisdicciones pueden haber preparado y adoptado planes de distribución de beneficios bajo el FCPF, que fueron diseñados en correlación con el alcance de las actividades financiadas por el FCPF. Es posible que estos no se correlacionen con el alcance de todas las actividades/acciones del programa J-REDD+.</w:t>
      </w:r>
    </w:p>
  </w:footnote>
  <w:footnote w:id="5">
    <w:p w14:paraId="232552B0" w14:textId="77777777" w:rsidR="00AF1271" w:rsidRPr="0074651B" w:rsidRDefault="00AF1271" w:rsidP="00AF1271">
      <w:pPr>
        <w:pStyle w:val="FootnoteText"/>
        <w:rPr>
          <w:rFonts w:ascii="Avenir Next" w:hAnsi="Avenir Next"/>
          <w:sz w:val="14"/>
          <w:szCs w:val="14"/>
        </w:rPr>
      </w:pPr>
      <w:r w:rsidRPr="0074651B">
        <w:rPr>
          <w:rStyle w:val="FootnoteReference"/>
          <w:rFonts w:ascii="Avenir Next" w:hAnsi="Avenir Next"/>
          <w:sz w:val="14"/>
          <w:szCs w:val="14"/>
        </w:rPr>
        <w:footnoteRef/>
      </w:r>
      <w:r w:rsidRPr="0074651B">
        <w:rPr>
          <w:rFonts w:ascii="Avenir Next" w:hAnsi="Avenir Next"/>
          <w:sz w:val="14"/>
          <w:szCs w:val="14"/>
        </w:rPr>
        <w:t xml:space="preserve"> </w:t>
      </w:r>
      <w:r w:rsidRPr="0074651B">
        <w:rPr>
          <w:rFonts w:ascii="Avenir Next" w:hAnsi="Avenir Next"/>
          <w:sz w:val="14"/>
          <w:szCs w:val="14"/>
        </w:rPr>
        <w:t>Algunas jurisdicciones pueden haber identificado/adoptado mecanismos de reparación de quejas bajo el FCPF, que fueron diseñados para abordar quejas bajo actividades financiadas por el FCPF. En consecuencia, su alcance puede no correlacionarse con el alcance de todas las actividades/acciones del programa J-REDD+.</w:t>
      </w:r>
    </w:p>
  </w:footnote>
  <w:footnote w:id="6">
    <w:p w14:paraId="69E1DC10" w14:textId="77777777" w:rsidR="00AF1271" w:rsidRPr="0074651B" w:rsidRDefault="00AF1271" w:rsidP="00AF1271">
      <w:pPr>
        <w:pStyle w:val="FootnoteText"/>
        <w:rPr>
          <w:rFonts w:ascii="Avenir Next" w:hAnsi="Avenir Next"/>
          <w:sz w:val="14"/>
          <w:szCs w:val="14"/>
        </w:rPr>
      </w:pPr>
      <w:r w:rsidRPr="0074651B">
        <w:rPr>
          <w:rStyle w:val="FootnoteReference"/>
          <w:rFonts w:ascii="Avenir Next" w:hAnsi="Avenir Next"/>
          <w:sz w:val="14"/>
          <w:szCs w:val="14"/>
        </w:rPr>
        <w:footnoteRef/>
      </w:r>
      <w:r w:rsidRPr="0074651B">
        <w:rPr>
          <w:rFonts w:ascii="Avenir Next" w:hAnsi="Avenir Next"/>
          <w:sz w:val="14"/>
          <w:szCs w:val="14"/>
        </w:rPr>
        <w:t xml:space="preserve"> </w:t>
      </w:r>
      <w:r w:rsidRPr="0074651B">
        <w:rPr>
          <w:rFonts w:ascii="Avenir Next" w:hAnsi="Avenir Next"/>
          <w:b/>
          <w:bCs/>
          <w:sz w:val="14"/>
          <w:szCs w:val="14"/>
        </w:rPr>
        <w:t xml:space="preserve">Nota: </w:t>
      </w:r>
      <w:r w:rsidRPr="0074651B">
        <w:rPr>
          <w:rFonts w:ascii="Avenir Next" w:hAnsi="Avenir Next"/>
          <w:sz w:val="14"/>
          <w:szCs w:val="14"/>
        </w:rPr>
        <w:t>esta información podría proporcionarse en el SOI y/o la Estrategia REDD+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2865"/>
    <w:multiLevelType w:val="hybridMultilevel"/>
    <w:tmpl w:val="D74C26C4"/>
    <w:lvl w:ilvl="0" w:tplc="759A2C84">
      <w:start w:val="1"/>
      <w:numFmt w:val="bullet"/>
      <w:lvlText w:val=""/>
      <w:lvlJc w:val="left"/>
      <w:pPr>
        <w:ind w:left="400" w:hanging="360"/>
      </w:pPr>
      <w:rPr>
        <w:rFonts w:ascii="Symbol" w:hAnsi="Symbol"/>
      </w:rPr>
    </w:lvl>
    <w:lvl w:ilvl="1" w:tplc="5172F262">
      <w:start w:val="1"/>
      <w:numFmt w:val="bullet"/>
      <w:lvlText w:val="o"/>
      <w:lvlJc w:val="left"/>
      <w:pPr>
        <w:ind w:left="800" w:hanging="360"/>
      </w:pPr>
      <w:rPr>
        <w:rFonts w:ascii="Courier New" w:hAnsi="Courier New"/>
      </w:rPr>
    </w:lvl>
    <w:lvl w:ilvl="2" w:tplc="225C8DC6">
      <w:start w:val="1"/>
      <w:numFmt w:val="bullet"/>
      <w:lvlText w:val=""/>
      <w:lvlJc w:val="left"/>
      <w:pPr>
        <w:ind w:left="1200" w:hanging="360"/>
      </w:pPr>
      <w:rPr>
        <w:rFonts w:ascii="Wingdings" w:hAnsi="Wingdings"/>
      </w:rPr>
    </w:lvl>
    <w:lvl w:ilvl="3" w:tplc="60A28A3E">
      <w:start w:val="1"/>
      <w:numFmt w:val="bullet"/>
      <w:lvlText w:val=""/>
      <w:lvlJc w:val="left"/>
      <w:pPr>
        <w:ind w:left="1600" w:hanging="360"/>
      </w:pPr>
      <w:rPr>
        <w:rFonts w:ascii="Symbol" w:hAnsi="Symbol"/>
      </w:rPr>
    </w:lvl>
    <w:lvl w:ilvl="4" w:tplc="0868D894">
      <w:start w:val="1"/>
      <w:numFmt w:val="bullet"/>
      <w:lvlText w:val="o"/>
      <w:lvlJc w:val="left"/>
      <w:pPr>
        <w:ind w:left="2000" w:hanging="360"/>
      </w:pPr>
      <w:rPr>
        <w:rFonts w:ascii="Courier New" w:hAnsi="Courier New"/>
      </w:rPr>
    </w:lvl>
    <w:lvl w:ilvl="5" w:tplc="208E493C">
      <w:start w:val="1"/>
      <w:numFmt w:val="bullet"/>
      <w:lvlText w:val=""/>
      <w:lvlJc w:val="left"/>
      <w:pPr>
        <w:ind w:left="2400" w:hanging="360"/>
      </w:pPr>
      <w:rPr>
        <w:rFonts w:ascii="Wingdings" w:hAnsi="Wingdings"/>
      </w:rPr>
    </w:lvl>
    <w:lvl w:ilvl="6" w:tplc="F6D4E108">
      <w:start w:val="1"/>
      <w:numFmt w:val="bullet"/>
      <w:lvlText w:val=""/>
      <w:lvlJc w:val="left"/>
      <w:pPr>
        <w:ind w:left="2800" w:hanging="360"/>
      </w:pPr>
      <w:rPr>
        <w:rFonts w:ascii="Symbol" w:hAnsi="Symbol"/>
      </w:rPr>
    </w:lvl>
    <w:lvl w:ilvl="7" w:tplc="966E7872">
      <w:start w:val="1"/>
      <w:numFmt w:val="bullet"/>
      <w:lvlText w:val="o"/>
      <w:lvlJc w:val="left"/>
      <w:pPr>
        <w:ind w:left="3200" w:hanging="360"/>
      </w:pPr>
      <w:rPr>
        <w:rFonts w:ascii="Courier New" w:hAnsi="Courier New"/>
      </w:rPr>
    </w:lvl>
    <w:lvl w:ilvl="8" w:tplc="4FDAD3E6">
      <w:numFmt w:val="decimal"/>
      <w:lvlText w:val=""/>
      <w:lvlJc w:val="left"/>
    </w:lvl>
  </w:abstractNum>
  <w:abstractNum w:abstractNumId="1" w15:restartNumberingAfterBreak="0">
    <w:nsid w:val="127956F5"/>
    <w:multiLevelType w:val="hybridMultilevel"/>
    <w:tmpl w:val="1FC2C6DE"/>
    <w:lvl w:ilvl="0" w:tplc="5D948112">
      <w:start w:val="10"/>
      <w:numFmt w:val="bullet"/>
      <w:lvlText w:val="-"/>
      <w:lvlJc w:val="left"/>
      <w:pPr>
        <w:ind w:left="720" w:hanging="360"/>
      </w:pPr>
      <w:rPr>
        <w:rFonts w:ascii="Bodoni 72 Book" w:eastAsiaTheme="minorHAnsi" w:hAnsi="Bodoni 72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62A50"/>
    <w:multiLevelType w:val="hybridMultilevel"/>
    <w:tmpl w:val="6D04A91A"/>
    <w:lvl w:ilvl="0" w:tplc="0FE62E2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3F7F91"/>
    <w:multiLevelType w:val="hybridMultilevel"/>
    <w:tmpl w:val="853CDE52"/>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2D1396"/>
    <w:multiLevelType w:val="hybridMultilevel"/>
    <w:tmpl w:val="19A2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C4A28"/>
    <w:multiLevelType w:val="hybridMultilevel"/>
    <w:tmpl w:val="3E3C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04144"/>
    <w:multiLevelType w:val="hybridMultilevel"/>
    <w:tmpl w:val="FCB0988C"/>
    <w:lvl w:ilvl="0" w:tplc="C8887FF8">
      <w:start w:val="1"/>
      <w:numFmt w:val="bullet"/>
      <w:lvlText w:val=""/>
      <w:lvlJc w:val="left"/>
      <w:pPr>
        <w:ind w:left="400" w:hanging="360"/>
      </w:pPr>
      <w:rPr>
        <w:rFonts w:ascii="Symbol" w:hAnsi="Symbol"/>
      </w:rPr>
    </w:lvl>
    <w:lvl w:ilvl="1" w:tplc="AE4E95B2">
      <w:start w:val="1"/>
      <w:numFmt w:val="bullet"/>
      <w:lvlText w:val="o"/>
      <w:lvlJc w:val="left"/>
      <w:pPr>
        <w:ind w:left="800" w:hanging="360"/>
      </w:pPr>
      <w:rPr>
        <w:rFonts w:ascii="Courier New" w:hAnsi="Courier New"/>
      </w:rPr>
    </w:lvl>
    <w:lvl w:ilvl="2" w:tplc="579C52A4">
      <w:start w:val="1"/>
      <w:numFmt w:val="bullet"/>
      <w:lvlText w:val=""/>
      <w:lvlJc w:val="left"/>
      <w:pPr>
        <w:ind w:left="1200" w:hanging="360"/>
      </w:pPr>
      <w:rPr>
        <w:rFonts w:ascii="Wingdings" w:hAnsi="Wingdings"/>
      </w:rPr>
    </w:lvl>
    <w:lvl w:ilvl="3" w:tplc="B9660A9E">
      <w:start w:val="1"/>
      <w:numFmt w:val="bullet"/>
      <w:lvlText w:val=""/>
      <w:lvlJc w:val="left"/>
      <w:pPr>
        <w:ind w:left="1600" w:hanging="360"/>
      </w:pPr>
      <w:rPr>
        <w:rFonts w:ascii="Symbol" w:hAnsi="Symbol"/>
      </w:rPr>
    </w:lvl>
    <w:lvl w:ilvl="4" w:tplc="9D787C8C">
      <w:start w:val="1"/>
      <w:numFmt w:val="bullet"/>
      <w:lvlText w:val="o"/>
      <w:lvlJc w:val="left"/>
      <w:pPr>
        <w:ind w:left="2000" w:hanging="360"/>
      </w:pPr>
      <w:rPr>
        <w:rFonts w:ascii="Courier New" w:hAnsi="Courier New"/>
      </w:rPr>
    </w:lvl>
    <w:lvl w:ilvl="5" w:tplc="9EFCB56E">
      <w:start w:val="1"/>
      <w:numFmt w:val="bullet"/>
      <w:lvlText w:val=""/>
      <w:lvlJc w:val="left"/>
      <w:pPr>
        <w:ind w:left="2400" w:hanging="360"/>
      </w:pPr>
      <w:rPr>
        <w:rFonts w:ascii="Wingdings" w:hAnsi="Wingdings"/>
      </w:rPr>
    </w:lvl>
    <w:lvl w:ilvl="6" w:tplc="B5CAB404">
      <w:start w:val="1"/>
      <w:numFmt w:val="bullet"/>
      <w:lvlText w:val=""/>
      <w:lvlJc w:val="left"/>
      <w:pPr>
        <w:ind w:left="2800" w:hanging="360"/>
      </w:pPr>
      <w:rPr>
        <w:rFonts w:ascii="Symbol" w:hAnsi="Symbol"/>
      </w:rPr>
    </w:lvl>
    <w:lvl w:ilvl="7" w:tplc="8F72AD2A">
      <w:start w:val="1"/>
      <w:numFmt w:val="bullet"/>
      <w:lvlText w:val="o"/>
      <w:lvlJc w:val="left"/>
      <w:pPr>
        <w:ind w:left="3200" w:hanging="360"/>
      </w:pPr>
      <w:rPr>
        <w:rFonts w:ascii="Courier New" w:hAnsi="Courier New"/>
      </w:rPr>
    </w:lvl>
    <w:lvl w:ilvl="8" w:tplc="9158848C">
      <w:numFmt w:val="decimal"/>
      <w:lvlText w:val=""/>
      <w:lvlJc w:val="left"/>
    </w:lvl>
  </w:abstractNum>
  <w:abstractNum w:abstractNumId="7" w15:restartNumberingAfterBreak="0">
    <w:nsid w:val="435C6354"/>
    <w:multiLevelType w:val="hybridMultilevel"/>
    <w:tmpl w:val="A37C3652"/>
    <w:lvl w:ilvl="0" w:tplc="4BBCBEEA">
      <w:start w:val="1"/>
      <w:numFmt w:val="bullet"/>
      <w:lvlText w:val=""/>
      <w:lvlJc w:val="left"/>
      <w:pPr>
        <w:ind w:left="400" w:hanging="360"/>
      </w:pPr>
      <w:rPr>
        <w:rFonts w:ascii="Symbol" w:hAnsi="Symbol"/>
      </w:rPr>
    </w:lvl>
    <w:lvl w:ilvl="1" w:tplc="BB10DDB0">
      <w:start w:val="1"/>
      <w:numFmt w:val="bullet"/>
      <w:lvlText w:val="o"/>
      <w:lvlJc w:val="left"/>
      <w:pPr>
        <w:ind w:left="800" w:hanging="360"/>
      </w:pPr>
      <w:rPr>
        <w:rFonts w:ascii="Courier New" w:hAnsi="Courier New"/>
      </w:rPr>
    </w:lvl>
    <w:lvl w:ilvl="2" w:tplc="4FA2628E">
      <w:start w:val="1"/>
      <w:numFmt w:val="bullet"/>
      <w:lvlText w:val=""/>
      <w:lvlJc w:val="left"/>
      <w:pPr>
        <w:ind w:left="1200" w:hanging="360"/>
      </w:pPr>
      <w:rPr>
        <w:rFonts w:ascii="Wingdings" w:hAnsi="Wingdings"/>
      </w:rPr>
    </w:lvl>
    <w:lvl w:ilvl="3" w:tplc="42449164">
      <w:start w:val="1"/>
      <w:numFmt w:val="bullet"/>
      <w:lvlText w:val=""/>
      <w:lvlJc w:val="left"/>
      <w:pPr>
        <w:ind w:left="1600" w:hanging="360"/>
      </w:pPr>
      <w:rPr>
        <w:rFonts w:ascii="Symbol" w:hAnsi="Symbol"/>
      </w:rPr>
    </w:lvl>
    <w:lvl w:ilvl="4" w:tplc="16B2FFCE">
      <w:start w:val="1"/>
      <w:numFmt w:val="bullet"/>
      <w:lvlText w:val="o"/>
      <w:lvlJc w:val="left"/>
      <w:pPr>
        <w:ind w:left="2000" w:hanging="360"/>
      </w:pPr>
      <w:rPr>
        <w:rFonts w:ascii="Courier New" w:hAnsi="Courier New"/>
      </w:rPr>
    </w:lvl>
    <w:lvl w:ilvl="5" w:tplc="45C2966C">
      <w:start w:val="1"/>
      <w:numFmt w:val="bullet"/>
      <w:lvlText w:val=""/>
      <w:lvlJc w:val="left"/>
      <w:pPr>
        <w:ind w:left="2400" w:hanging="360"/>
      </w:pPr>
      <w:rPr>
        <w:rFonts w:ascii="Wingdings" w:hAnsi="Wingdings"/>
      </w:rPr>
    </w:lvl>
    <w:lvl w:ilvl="6" w:tplc="135E7E7E">
      <w:start w:val="1"/>
      <w:numFmt w:val="bullet"/>
      <w:lvlText w:val=""/>
      <w:lvlJc w:val="left"/>
      <w:pPr>
        <w:ind w:left="2800" w:hanging="360"/>
      </w:pPr>
      <w:rPr>
        <w:rFonts w:ascii="Symbol" w:hAnsi="Symbol"/>
      </w:rPr>
    </w:lvl>
    <w:lvl w:ilvl="7" w:tplc="0DE69E02">
      <w:start w:val="1"/>
      <w:numFmt w:val="bullet"/>
      <w:lvlText w:val="o"/>
      <w:lvlJc w:val="left"/>
      <w:pPr>
        <w:ind w:left="3200" w:hanging="360"/>
      </w:pPr>
      <w:rPr>
        <w:rFonts w:ascii="Courier New" w:hAnsi="Courier New"/>
      </w:rPr>
    </w:lvl>
    <w:lvl w:ilvl="8" w:tplc="5FB079DE">
      <w:numFmt w:val="decimal"/>
      <w:lvlText w:val=""/>
      <w:lvlJc w:val="left"/>
    </w:lvl>
  </w:abstractNum>
  <w:abstractNum w:abstractNumId="8" w15:restartNumberingAfterBreak="0">
    <w:nsid w:val="4A526B94"/>
    <w:multiLevelType w:val="hybridMultilevel"/>
    <w:tmpl w:val="C332ED3E"/>
    <w:lvl w:ilvl="0" w:tplc="020A9A70">
      <w:start w:val="1"/>
      <w:numFmt w:val="bullet"/>
      <w:lvlText w:val=""/>
      <w:lvlJc w:val="left"/>
      <w:pPr>
        <w:ind w:left="400" w:hanging="360"/>
      </w:pPr>
      <w:rPr>
        <w:rFonts w:ascii="Symbol" w:hAnsi="Symbol"/>
      </w:rPr>
    </w:lvl>
    <w:lvl w:ilvl="1" w:tplc="58564A5A">
      <w:start w:val="1"/>
      <w:numFmt w:val="bullet"/>
      <w:lvlText w:val="o"/>
      <w:lvlJc w:val="left"/>
      <w:pPr>
        <w:ind w:left="800" w:hanging="360"/>
      </w:pPr>
      <w:rPr>
        <w:rFonts w:ascii="Courier New" w:hAnsi="Courier New"/>
      </w:rPr>
    </w:lvl>
    <w:lvl w:ilvl="2" w:tplc="B41C4E5A">
      <w:start w:val="1"/>
      <w:numFmt w:val="bullet"/>
      <w:lvlText w:val=""/>
      <w:lvlJc w:val="left"/>
      <w:pPr>
        <w:ind w:left="1200" w:hanging="360"/>
      </w:pPr>
      <w:rPr>
        <w:rFonts w:ascii="Wingdings" w:hAnsi="Wingdings"/>
      </w:rPr>
    </w:lvl>
    <w:lvl w:ilvl="3" w:tplc="274A899E">
      <w:start w:val="1"/>
      <w:numFmt w:val="bullet"/>
      <w:lvlText w:val=""/>
      <w:lvlJc w:val="left"/>
      <w:pPr>
        <w:ind w:left="1600" w:hanging="360"/>
      </w:pPr>
      <w:rPr>
        <w:rFonts w:ascii="Symbol" w:hAnsi="Symbol"/>
      </w:rPr>
    </w:lvl>
    <w:lvl w:ilvl="4" w:tplc="EE0846BE">
      <w:start w:val="1"/>
      <w:numFmt w:val="bullet"/>
      <w:lvlText w:val="o"/>
      <w:lvlJc w:val="left"/>
      <w:pPr>
        <w:ind w:left="2000" w:hanging="360"/>
      </w:pPr>
      <w:rPr>
        <w:rFonts w:ascii="Courier New" w:hAnsi="Courier New"/>
      </w:rPr>
    </w:lvl>
    <w:lvl w:ilvl="5" w:tplc="63C61CC0">
      <w:start w:val="1"/>
      <w:numFmt w:val="bullet"/>
      <w:lvlText w:val=""/>
      <w:lvlJc w:val="left"/>
      <w:pPr>
        <w:ind w:left="2400" w:hanging="360"/>
      </w:pPr>
      <w:rPr>
        <w:rFonts w:ascii="Wingdings" w:hAnsi="Wingdings"/>
      </w:rPr>
    </w:lvl>
    <w:lvl w:ilvl="6" w:tplc="5AC6DA36">
      <w:start w:val="1"/>
      <w:numFmt w:val="bullet"/>
      <w:lvlText w:val=""/>
      <w:lvlJc w:val="left"/>
      <w:pPr>
        <w:ind w:left="2800" w:hanging="360"/>
      </w:pPr>
      <w:rPr>
        <w:rFonts w:ascii="Symbol" w:hAnsi="Symbol"/>
      </w:rPr>
    </w:lvl>
    <w:lvl w:ilvl="7" w:tplc="F286AADE">
      <w:start w:val="1"/>
      <w:numFmt w:val="bullet"/>
      <w:lvlText w:val="o"/>
      <w:lvlJc w:val="left"/>
      <w:pPr>
        <w:ind w:left="3200" w:hanging="360"/>
      </w:pPr>
      <w:rPr>
        <w:rFonts w:ascii="Courier New" w:hAnsi="Courier New"/>
      </w:rPr>
    </w:lvl>
    <w:lvl w:ilvl="8" w:tplc="72E06932">
      <w:numFmt w:val="decimal"/>
      <w:lvlText w:val=""/>
      <w:lvlJc w:val="left"/>
    </w:lvl>
  </w:abstractNum>
  <w:abstractNum w:abstractNumId="9" w15:restartNumberingAfterBreak="0">
    <w:nsid w:val="543076B0"/>
    <w:multiLevelType w:val="hybridMultilevel"/>
    <w:tmpl w:val="008C54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7A54A5"/>
    <w:multiLevelType w:val="hybridMultilevel"/>
    <w:tmpl w:val="26E6CD9A"/>
    <w:lvl w:ilvl="0" w:tplc="2C7E3C38">
      <w:start w:val="1"/>
      <w:numFmt w:val="bullet"/>
      <w:lvlText w:val=""/>
      <w:lvlJc w:val="left"/>
      <w:pPr>
        <w:ind w:left="400" w:hanging="360"/>
      </w:pPr>
      <w:rPr>
        <w:rFonts w:ascii="Symbol" w:hAnsi="Symbol"/>
      </w:rPr>
    </w:lvl>
    <w:lvl w:ilvl="1" w:tplc="A5762E9C">
      <w:start w:val="1"/>
      <w:numFmt w:val="bullet"/>
      <w:lvlText w:val="o"/>
      <w:lvlJc w:val="left"/>
      <w:pPr>
        <w:ind w:left="800" w:hanging="360"/>
      </w:pPr>
      <w:rPr>
        <w:rFonts w:ascii="Courier New" w:hAnsi="Courier New"/>
      </w:rPr>
    </w:lvl>
    <w:lvl w:ilvl="2" w:tplc="68D2A394">
      <w:start w:val="1"/>
      <w:numFmt w:val="bullet"/>
      <w:lvlText w:val=""/>
      <w:lvlJc w:val="left"/>
      <w:pPr>
        <w:ind w:left="1200" w:hanging="360"/>
      </w:pPr>
      <w:rPr>
        <w:rFonts w:ascii="Wingdings" w:hAnsi="Wingdings"/>
      </w:rPr>
    </w:lvl>
    <w:lvl w:ilvl="3" w:tplc="CC960CD8">
      <w:start w:val="1"/>
      <w:numFmt w:val="bullet"/>
      <w:lvlText w:val=""/>
      <w:lvlJc w:val="left"/>
      <w:pPr>
        <w:ind w:left="1600" w:hanging="360"/>
      </w:pPr>
      <w:rPr>
        <w:rFonts w:ascii="Symbol" w:hAnsi="Symbol"/>
      </w:rPr>
    </w:lvl>
    <w:lvl w:ilvl="4" w:tplc="F50A1104">
      <w:start w:val="1"/>
      <w:numFmt w:val="bullet"/>
      <w:lvlText w:val="o"/>
      <w:lvlJc w:val="left"/>
      <w:pPr>
        <w:ind w:left="2000" w:hanging="360"/>
      </w:pPr>
      <w:rPr>
        <w:rFonts w:ascii="Courier New" w:hAnsi="Courier New"/>
      </w:rPr>
    </w:lvl>
    <w:lvl w:ilvl="5" w:tplc="0AF250C2">
      <w:start w:val="1"/>
      <w:numFmt w:val="bullet"/>
      <w:lvlText w:val=""/>
      <w:lvlJc w:val="left"/>
      <w:pPr>
        <w:ind w:left="2400" w:hanging="360"/>
      </w:pPr>
      <w:rPr>
        <w:rFonts w:ascii="Wingdings" w:hAnsi="Wingdings"/>
      </w:rPr>
    </w:lvl>
    <w:lvl w:ilvl="6" w:tplc="89E6E0A8">
      <w:start w:val="1"/>
      <w:numFmt w:val="bullet"/>
      <w:lvlText w:val=""/>
      <w:lvlJc w:val="left"/>
      <w:pPr>
        <w:ind w:left="2800" w:hanging="360"/>
      </w:pPr>
      <w:rPr>
        <w:rFonts w:ascii="Symbol" w:hAnsi="Symbol"/>
      </w:rPr>
    </w:lvl>
    <w:lvl w:ilvl="7" w:tplc="1DA6C0F8">
      <w:start w:val="1"/>
      <w:numFmt w:val="bullet"/>
      <w:lvlText w:val="o"/>
      <w:lvlJc w:val="left"/>
      <w:pPr>
        <w:ind w:left="3200" w:hanging="360"/>
      </w:pPr>
      <w:rPr>
        <w:rFonts w:ascii="Courier New" w:hAnsi="Courier New"/>
      </w:rPr>
    </w:lvl>
    <w:lvl w:ilvl="8" w:tplc="91747A1C">
      <w:numFmt w:val="decimal"/>
      <w:lvlText w:val=""/>
      <w:lvlJc w:val="left"/>
    </w:lvl>
  </w:abstractNum>
  <w:abstractNum w:abstractNumId="11" w15:restartNumberingAfterBreak="0">
    <w:nsid w:val="5EF0709A"/>
    <w:multiLevelType w:val="hybridMultilevel"/>
    <w:tmpl w:val="083C59C0"/>
    <w:lvl w:ilvl="0" w:tplc="9AB81A8C">
      <w:start w:val="1"/>
      <w:numFmt w:val="bullet"/>
      <w:lvlText w:val=""/>
      <w:lvlJc w:val="left"/>
      <w:pPr>
        <w:ind w:left="400" w:hanging="360"/>
      </w:pPr>
      <w:rPr>
        <w:rFonts w:ascii="Symbol" w:hAnsi="Symbol"/>
      </w:rPr>
    </w:lvl>
    <w:lvl w:ilvl="1" w:tplc="E072F64E">
      <w:start w:val="1"/>
      <w:numFmt w:val="bullet"/>
      <w:lvlText w:val="o"/>
      <w:lvlJc w:val="left"/>
      <w:pPr>
        <w:ind w:left="800" w:hanging="360"/>
      </w:pPr>
      <w:rPr>
        <w:rFonts w:ascii="Courier New" w:hAnsi="Courier New"/>
      </w:rPr>
    </w:lvl>
    <w:lvl w:ilvl="2" w:tplc="C88E80D0">
      <w:start w:val="1"/>
      <w:numFmt w:val="bullet"/>
      <w:lvlText w:val=""/>
      <w:lvlJc w:val="left"/>
      <w:pPr>
        <w:ind w:left="1200" w:hanging="360"/>
      </w:pPr>
      <w:rPr>
        <w:rFonts w:ascii="Wingdings" w:hAnsi="Wingdings"/>
      </w:rPr>
    </w:lvl>
    <w:lvl w:ilvl="3" w:tplc="420C4436">
      <w:start w:val="1"/>
      <w:numFmt w:val="bullet"/>
      <w:lvlText w:val=""/>
      <w:lvlJc w:val="left"/>
      <w:pPr>
        <w:ind w:left="1600" w:hanging="360"/>
      </w:pPr>
      <w:rPr>
        <w:rFonts w:ascii="Symbol" w:hAnsi="Symbol"/>
      </w:rPr>
    </w:lvl>
    <w:lvl w:ilvl="4" w:tplc="2994697C">
      <w:start w:val="1"/>
      <w:numFmt w:val="bullet"/>
      <w:lvlText w:val="o"/>
      <w:lvlJc w:val="left"/>
      <w:pPr>
        <w:ind w:left="2000" w:hanging="360"/>
      </w:pPr>
      <w:rPr>
        <w:rFonts w:ascii="Courier New" w:hAnsi="Courier New"/>
      </w:rPr>
    </w:lvl>
    <w:lvl w:ilvl="5" w:tplc="27D8D8D8">
      <w:start w:val="1"/>
      <w:numFmt w:val="bullet"/>
      <w:lvlText w:val=""/>
      <w:lvlJc w:val="left"/>
      <w:pPr>
        <w:ind w:left="2400" w:hanging="360"/>
      </w:pPr>
      <w:rPr>
        <w:rFonts w:ascii="Wingdings" w:hAnsi="Wingdings"/>
      </w:rPr>
    </w:lvl>
    <w:lvl w:ilvl="6" w:tplc="5D04E210">
      <w:start w:val="1"/>
      <w:numFmt w:val="bullet"/>
      <w:lvlText w:val=""/>
      <w:lvlJc w:val="left"/>
      <w:pPr>
        <w:ind w:left="2800" w:hanging="360"/>
      </w:pPr>
      <w:rPr>
        <w:rFonts w:ascii="Symbol" w:hAnsi="Symbol"/>
      </w:rPr>
    </w:lvl>
    <w:lvl w:ilvl="7" w:tplc="3CF63A5E">
      <w:start w:val="1"/>
      <w:numFmt w:val="bullet"/>
      <w:lvlText w:val="o"/>
      <w:lvlJc w:val="left"/>
      <w:pPr>
        <w:ind w:left="3200" w:hanging="360"/>
      </w:pPr>
      <w:rPr>
        <w:rFonts w:ascii="Courier New" w:hAnsi="Courier New"/>
      </w:rPr>
    </w:lvl>
    <w:lvl w:ilvl="8" w:tplc="B58C3A58">
      <w:numFmt w:val="decimal"/>
      <w:lvlText w:val=""/>
      <w:lvlJc w:val="left"/>
    </w:lvl>
  </w:abstractNum>
  <w:abstractNum w:abstractNumId="12" w15:restartNumberingAfterBreak="0">
    <w:nsid w:val="6D720E5D"/>
    <w:multiLevelType w:val="hybridMultilevel"/>
    <w:tmpl w:val="8DDA8722"/>
    <w:lvl w:ilvl="0" w:tplc="91C6D28C">
      <w:start w:val="1"/>
      <w:numFmt w:val="bullet"/>
      <w:lvlText w:val=""/>
      <w:lvlJc w:val="left"/>
      <w:pPr>
        <w:ind w:left="400" w:hanging="360"/>
      </w:pPr>
      <w:rPr>
        <w:rFonts w:ascii="Symbol" w:hAnsi="Symbol"/>
      </w:rPr>
    </w:lvl>
    <w:lvl w:ilvl="1" w:tplc="BF86058A">
      <w:start w:val="1"/>
      <w:numFmt w:val="bullet"/>
      <w:lvlText w:val="o"/>
      <w:lvlJc w:val="left"/>
      <w:pPr>
        <w:ind w:left="800" w:hanging="360"/>
      </w:pPr>
      <w:rPr>
        <w:rFonts w:ascii="Courier New" w:hAnsi="Courier New"/>
      </w:rPr>
    </w:lvl>
    <w:lvl w:ilvl="2" w:tplc="DFB6ECAC">
      <w:start w:val="1"/>
      <w:numFmt w:val="bullet"/>
      <w:lvlText w:val=""/>
      <w:lvlJc w:val="left"/>
      <w:pPr>
        <w:ind w:left="1200" w:hanging="360"/>
      </w:pPr>
      <w:rPr>
        <w:rFonts w:ascii="Wingdings" w:hAnsi="Wingdings"/>
      </w:rPr>
    </w:lvl>
    <w:lvl w:ilvl="3" w:tplc="4B6CE3FE">
      <w:start w:val="1"/>
      <w:numFmt w:val="bullet"/>
      <w:lvlText w:val=""/>
      <w:lvlJc w:val="left"/>
      <w:pPr>
        <w:ind w:left="1600" w:hanging="360"/>
      </w:pPr>
      <w:rPr>
        <w:rFonts w:ascii="Symbol" w:hAnsi="Symbol"/>
      </w:rPr>
    </w:lvl>
    <w:lvl w:ilvl="4" w:tplc="380EC930">
      <w:start w:val="1"/>
      <w:numFmt w:val="bullet"/>
      <w:lvlText w:val="o"/>
      <w:lvlJc w:val="left"/>
      <w:pPr>
        <w:ind w:left="2000" w:hanging="360"/>
      </w:pPr>
      <w:rPr>
        <w:rFonts w:ascii="Courier New" w:hAnsi="Courier New"/>
      </w:rPr>
    </w:lvl>
    <w:lvl w:ilvl="5" w:tplc="C62E4750">
      <w:start w:val="1"/>
      <w:numFmt w:val="bullet"/>
      <w:lvlText w:val=""/>
      <w:lvlJc w:val="left"/>
      <w:pPr>
        <w:ind w:left="2400" w:hanging="360"/>
      </w:pPr>
      <w:rPr>
        <w:rFonts w:ascii="Wingdings" w:hAnsi="Wingdings"/>
      </w:rPr>
    </w:lvl>
    <w:lvl w:ilvl="6" w:tplc="256A9E1E">
      <w:start w:val="1"/>
      <w:numFmt w:val="bullet"/>
      <w:lvlText w:val=""/>
      <w:lvlJc w:val="left"/>
      <w:pPr>
        <w:ind w:left="2800" w:hanging="360"/>
      </w:pPr>
      <w:rPr>
        <w:rFonts w:ascii="Symbol" w:hAnsi="Symbol"/>
      </w:rPr>
    </w:lvl>
    <w:lvl w:ilvl="7" w:tplc="5E34560C">
      <w:start w:val="1"/>
      <w:numFmt w:val="bullet"/>
      <w:lvlText w:val="o"/>
      <w:lvlJc w:val="left"/>
      <w:pPr>
        <w:ind w:left="3200" w:hanging="360"/>
      </w:pPr>
      <w:rPr>
        <w:rFonts w:ascii="Courier New" w:hAnsi="Courier New"/>
      </w:rPr>
    </w:lvl>
    <w:lvl w:ilvl="8" w:tplc="607E55A8">
      <w:numFmt w:val="decimal"/>
      <w:lvlText w:val=""/>
      <w:lvlJc w:val="left"/>
    </w:lvl>
  </w:abstractNum>
  <w:abstractNum w:abstractNumId="13" w15:restartNumberingAfterBreak="0">
    <w:nsid w:val="76777EB5"/>
    <w:multiLevelType w:val="hybridMultilevel"/>
    <w:tmpl w:val="B8785866"/>
    <w:lvl w:ilvl="0" w:tplc="EAA8C840">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713853">
    <w:abstractNumId w:val="12"/>
  </w:num>
  <w:num w:numId="2" w16cid:durableId="898905256">
    <w:abstractNumId w:val="11"/>
  </w:num>
  <w:num w:numId="3" w16cid:durableId="1371566568">
    <w:abstractNumId w:val="10"/>
  </w:num>
  <w:num w:numId="4" w16cid:durableId="1217161732">
    <w:abstractNumId w:val="0"/>
  </w:num>
  <w:num w:numId="5" w16cid:durableId="1098478114">
    <w:abstractNumId w:val="7"/>
  </w:num>
  <w:num w:numId="6" w16cid:durableId="25449401">
    <w:abstractNumId w:val="8"/>
  </w:num>
  <w:num w:numId="7" w16cid:durableId="1930306481">
    <w:abstractNumId w:val="6"/>
  </w:num>
  <w:num w:numId="8" w16cid:durableId="77600439">
    <w:abstractNumId w:val="4"/>
  </w:num>
  <w:num w:numId="9" w16cid:durableId="28917186">
    <w:abstractNumId w:val="13"/>
  </w:num>
  <w:num w:numId="10" w16cid:durableId="194346410">
    <w:abstractNumId w:val="2"/>
  </w:num>
  <w:num w:numId="11" w16cid:durableId="1571160831">
    <w:abstractNumId w:val="1"/>
  </w:num>
  <w:num w:numId="12" w16cid:durableId="842090000">
    <w:abstractNumId w:val="3"/>
  </w:num>
  <w:num w:numId="13" w16cid:durableId="1361397962">
    <w:abstractNumId w:val="5"/>
  </w:num>
  <w:num w:numId="14" w16cid:durableId="12959853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69C8"/>
    <w:rsid w:val="0005159F"/>
    <w:rsid w:val="00075034"/>
    <w:rsid w:val="00083D00"/>
    <w:rsid w:val="002F7EEB"/>
    <w:rsid w:val="00550E01"/>
    <w:rsid w:val="00560DBB"/>
    <w:rsid w:val="006169C8"/>
    <w:rsid w:val="006250E2"/>
    <w:rsid w:val="0074651B"/>
    <w:rsid w:val="00763585"/>
    <w:rsid w:val="00AF1271"/>
    <w:rsid w:val="00DF736E"/>
    <w:rsid w:val="00F42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DD5FB3"/>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271"/>
    <w:pPr>
      <w:ind w:left="720"/>
      <w:contextualSpacing/>
    </w:pPr>
  </w:style>
  <w:style w:type="table" w:styleId="TableGrid">
    <w:name w:val="Table Grid"/>
    <w:basedOn w:val="TableNormal"/>
    <w:uiPriority w:val="39"/>
    <w:rsid w:val="00AF1271"/>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F1271"/>
    <w:rPr>
      <w:rFonts w:ascii="Bodoni 72 Book" w:eastAsiaTheme="minorHAnsi" w:hAnsi="Bodoni 72 Book"/>
      <w:sz w:val="20"/>
      <w:szCs w:val="20"/>
      <w:lang w:val="es-419"/>
    </w:rPr>
  </w:style>
  <w:style w:type="character" w:customStyle="1" w:styleId="FootnoteTextChar">
    <w:name w:val="Footnote Text Char"/>
    <w:basedOn w:val="DefaultParagraphFont"/>
    <w:link w:val="FootnoteText"/>
    <w:uiPriority w:val="99"/>
    <w:rsid w:val="00AF1271"/>
    <w:rPr>
      <w:rFonts w:ascii="Bodoni 72 Book" w:eastAsiaTheme="minorHAnsi" w:hAnsi="Bodoni 72 Book"/>
      <w:sz w:val="20"/>
      <w:szCs w:val="20"/>
      <w:lang w:val="es-419"/>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AF1271"/>
    <w:rPr>
      <w:vertAlign w:val="superscript"/>
    </w:rPr>
  </w:style>
  <w:style w:type="character" w:customStyle="1" w:styleId="y2iqfc">
    <w:name w:val="y2iqfc"/>
    <w:basedOn w:val="DefaultParagraphFont"/>
    <w:rsid w:val="00AF1271"/>
  </w:style>
  <w:style w:type="table" w:styleId="GridTable1Light">
    <w:name w:val="Grid Table 1 Light"/>
    <w:basedOn w:val="TableNormal"/>
    <w:uiPriority w:val="46"/>
    <w:rsid w:val="00AF1271"/>
    <w:rPr>
      <w:rFonts w:eastAsiaTheme="minorHAnsi"/>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2CB82-65A8-694A-B6A4-52673C328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1447</Words>
  <Characters>8251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Carla Rey Christen</cp:lastModifiedBy>
  <cp:revision>7</cp:revision>
  <dcterms:created xsi:type="dcterms:W3CDTF">2024-06-02T22:25:00Z</dcterms:created>
  <dcterms:modified xsi:type="dcterms:W3CDTF">2024-07-12T11:34:00Z</dcterms:modified>
</cp:coreProperties>
</file>