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6F235" w14:textId="77777777" w:rsidR="00F64485" w:rsidRDefault="00000000">
      <w:pPr>
        <w:spacing w:before="120" w:after="120"/>
        <w:jc w:val="center"/>
      </w:pPr>
      <w:r>
        <w:rPr>
          <w:noProof/>
        </w:rPr>
        <w:drawing>
          <wp:anchor distT="0" distB="0" distL="114300" distR="114300" simplePos="0" relativeHeight="251658240" behindDoc="0" locked="0" layoutInCell="1" allowOverlap="1" wp14:anchorId="1F4C909F" wp14:editId="5754E612">
            <wp:simplePos x="0" y="0"/>
            <wp:positionH relativeFrom="page">
              <wp:posOffset>0</wp:posOffset>
            </wp:positionH>
            <wp:positionV relativeFrom="paragraph">
              <wp:posOffset>0</wp:posOffset>
            </wp:positionV>
            <wp:extent cx="7562850" cy="2268855"/>
            <wp:effectExtent l="0" t="0" r="0" b="0"/>
            <wp:wrapTopAndBottom/>
            <wp:docPr id="1" name="Drawing 0" descr="28ed1047684ccf6bf53bcb36c83e8c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8ed1047684ccf6bf53bcb36c83e8c2f.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4DB6C2F4" w14:textId="77777777" w:rsidR="00F64485" w:rsidRPr="00AF20E2" w:rsidRDefault="00000000">
      <w:pPr>
        <w:spacing w:before="120" w:after="120" w:line="336" w:lineRule="auto"/>
        <w:rPr>
          <w:rFonts w:ascii="Bodoni 72 Book" w:hAnsi="Bodoni 72 Book"/>
          <w:lang w:val="es-ES"/>
        </w:rPr>
      </w:pPr>
      <w:r w:rsidRPr="00AF20E2">
        <w:rPr>
          <w:rFonts w:ascii="Bodoni 72 Book" w:eastAsia="Prata" w:hAnsi="Bodoni 72 Book" w:cs="Prata"/>
          <w:color w:val="573B46"/>
          <w:sz w:val="64"/>
          <w:szCs w:val="64"/>
          <w:lang w:val="es-ES"/>
        </w:rPr>
        <w:t xml:space="preserve">Consideraciones clave </w:t>
      </w:r>
    </w:p>
    <w:p w14:paraId="7761F376" w14:textId="77777777" w:rsidR="00F64485" w:rsidRPr="00AF20E2" w:rsidRDefault="00F64485">
      <w:pPr>
        <w:pBdr>
          <w:bottom w:val="single" w:sz="6" w:space="0" w:color="573B46"/>
        </w:pBdr>
        <w:spacing w:before="120" w:after="120" w:line="0" w:lineRule="auto"/>
        <w:rPr>
          <w:lang w:val="es-ES"/>
        </w:rPr>
      </w:pPr>
    </w:p>
    <w:p w14:paraId="03C5FA7F" w14:textId="432F6280" w:rsidR="00F64485" w:rsidRPr="00AF20E2" w:rsidRDefault="00000000" w:rsidP="005A729A">
      <w:pPr>
        <w:spacing w:before="120" w:after="120" w:line="336" w:lineRule="auto"/>
        <w:rPr>
          <w:rFonts w:ascii="Avenir Next" w:hAnsi="Avenir Next"/>
          <w:sz w:val="20"/>
          <w:szCs w:val="20"/>
          <w:lang w:val="es-ES"/>
        </w:rPr>
      </w:pPr>
      <w:r w:rsidRPr="00AF20E2">
        <w:rPr>
          <w:rFonts w:ascii="Avenir Next" w:eastAsia="Montserrat" w:hAnsi="Avenir Next" w:cs="Montserrat"/>
          <w:color w:val="000000"/>
          <w:sz w:val="20"/>
          <w:szCs w:val="20"/>
          <w:lang w:val="es-ES"/>
        </w:rPr>
        <w:t xml:space="preserve">La salvaguarda 'b' de REDD+ de la CMNUCC se refiere a estructuras de gobernanza efectivas, que generalmente incluyen el acceso a un plan o sistema justo de distribución de ingresos de REDD+, especialmente para los pueblos indígenas y las comunidades locales. A los efectos de demostrar la conformidad con este elemento de la salvaguarda, se espera que los programas Jurisdiccionales REDD+ (J-REDD+) cuenten con un plan o sistema de distribución de ingresos de REDD+. Se espera que estos planes o sistemas estén alineados con los estándares y mejores prácticas internacionales. </w:t>
      </w:r>
      <w:r w:rsidR="005A729A">
        <w:rPr>
          <w:rFonts w:ascii="Avenir Next" w:eastAsia="Montserrat" w:hAnsi="Avenir Next" w:cs="Montserrat"/>
          <w:color w:val="000000"/>
          <w:sz w:val="20"/>
          <w:szCs w:val="20"/>
          <w:lang w:val="es-ES"/>
        </w:rPr>
        <w:t xml:space="preserve"> </w:t>
      </w:r>
    </w:p>
    <w:p w14:paraId="5D277A94" w14:textId="116DBAEB" w:rsidR="00F64485" w:rsidRPr="00AF20E2" w:rsidRDefault="00000000">
      <w:pPr>
        <w:spacing w:before="120" w:after="120" w:line="336" w:lineRule="auto"/>
        <w:rPr>
          <w:rFonts w:ascii="Avenir Next" w:hAnsi="Avenir Next"/>
          <w:sz w:val="20"/>
          <w:szCs w:val="20"/>
          <w:lang w:val="es-ES"/>
        </w:rPr>
      </w:pPr>
      <w:r w:rsidRPr="00AF20E2">
        <w:rPr>
          <w:rFonts w:ascii="Avenir Next" w:eastAsia="Montserrat" w:hAnsi="Avenir Next" w:cs="Montserrat"/>
          <w:color w:val="000000"/>
          <w:sz w:val="20"/>
          <w:szCs w:val="20"/>
          <w:lang w:val="es-ES"/>
        </w:rPr>
        <w:t>Según las mejores prácticas internacionales, un plan o sistema de distribución de ingresos debe basarse en varios principios, entre ellos</w:t>
      </w:r>
      <w:r w:rsidR="00AF20E2" w:rsidRPr="00AF20E2">
        <w:rPr>
          <w:rStyle w:val="FootnoteReference"/>
          <w:rFonts w:ascii="Avenir Next" w:eastAsia="Montserrat" w:hAnsi="Avenir Next" w:cs="Montserrat"/>
          <w:color w:val="000000"/>
          <w:sz w:val="20"/>
          <w:szCs w:val="20"/>
          <w:lang w:val="es-ES"/>
        </w:rPr>
        <w:footnoteReference w:id="1"/>
      </w:r>
      <w:r w:rsidR="005A729A">
        <w:rPr>
          <w:rFonts w:ascii="Avenir Next" w:eastAsia="Montserrat" w:hAnsi="Avenir Next" w:cs="Montserrat"/>
          <w:color w:val="000000"/>
          <w:sz w:val="20"/>
          <w:szCs w:val="20"/>
          <w:lang w:val="es-ES"/>
        </w:rPr>
        <w:t>,</w:t>
      </w:r>
      <w:r w:rsidR="005A729A">
        <w:rPr>
          <w:rStyle w:val="FootnoteReference"/>
          <w:rFonts w:ascii="Avenir Next" w:eastAsia="Montserrat" w:hAnsi="Avenir Next" w:cs="Montserrat"/>
          <w:color w:val="000000"/>
          <w:sz w:val="20"/>
          <w:szCs w:val="20"/>
          <w:lang w:val="es-ES"/>
        </w:rPr>
        <w:footnoteReference w:id="2"/>
      </w:r>
      <w:r w:rsidR="005A729A">
        <w:rPr>
          <w:rFonts w:ascii="Avenir Next" w:eastAsia="Montserrat" w:hAnsi="Avenir Next" w:cs="Montserrat"/>
          <w:color w:val="000000"/>
          <w:sz w:val="20"/>
          <w:szCs w:val="20"/>
          <w:lang w:val="es-ES"/>
        </w:rPr>
        <w:t>,</w:t>
      </w:r>
      <w:r w:rsidR="005A729A">
        <w:rPr>
          <w:rStyle w:val="FootnoteReference"/>
          <w:rFonts w:ascii="Avenir Next" w:eastAsia="Montserrat" w:hAnsi="Avenir Next" w:cs="Montserrat"/>
          <w:color w:val="000000"/>
          <w:sz w:val="20"/>
          <w:szCs w:val="20"/>
          <w:lang w:val="es-ES"/>
        </w:rPr>
        <w:footnoteReference w:id="3"/>
      </w:r>
      <w:r w:rsidRPr="00AF20E2">
        <w:rPr>
          <w:rFonts w:ascii="Avenir Next" w:eastAsia="Montserrat" w:hAnsi="Avenir Next" w:cs="Montserrat"/>
          <w:color w:val="000000"/>
          <w:sz w:val="20"/>
          <w:szCs w:val="20"/>
          <w:lang w:val="es-ES"/>
        </w:rPr>
        <w:t xml:space="preserve">: </w:t>
      </w:r>
    </w:p>
    <w:p w14:paraId="4E96728E" w14:textId="77777777" w:rsidR="00F64485" w:rsidRPr="00AF20E2" w:rsidRDefault="00000000">
      <w:pPr>
        <w:numPr>
          <w:ilvl w:val="0"/>
          <w:numId w:val="1"/>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Participación – </w:t>
      </w:r>
      <w:r w:rsidRPr="00AF20E2">
        <w:rPr>
          <w:rFonts w:ascii="Avenir Next" w:eastAsia="Montserrat" w:hAnsi="Avenir Next" w:cs="Montserrat"/>
          <w:color w:val="000000"/>
          <w:sz w:val="20"/>
          <w:szCs w:val="20"/>
          <w:lang w:val="es-ES"/>
        </w:rPr>
        <w:t xml:space="preserve">no sólo para los beneficiarios en la definición de la forma de los incentivos, sino también para incluir a otras partes interesadas de manera más amplia en el diseño, implementación y evaluación de la distribución de ingresos, y en los procesos de gobernanza y toma de decisiones; </w:t>
      </w:r>
    </w:p>
    <w:p w14:paraId="7CB595E9" w14:textId="77777777" w:rsidR="00F64485" w:rsidRPr="00AF20E2" w:rsidRDefault="00000000">
      <w:pPr>
        <w:numPr>
          <w:ilvl w:val="0"/>
          <w:numId w:val="1"/>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Transparencia: </w:t>
      </w:r>
      <w:r w:rsidRPr="00AF20E2">
        <w:rPr>
          <w:rFonts w:ascii="Avenir Next" w:eastAsia="Montserrat" w:hAnsi="Avenir Next" w:cs="Montserrat"/>
          <w:color w:val="000000"/>
          <w:sz w:val="20"/>
          <w:szCs w:val="20"/>
          <w:lang w:val="es-ES"/>
        </w:rPr>
        <w:t xml:space="preserve">información transparente sobre la elegibilidad y las condiciones para recibir incentivos, la financiación recibida y entregada, los costos de implementación y cómo se </w:t>
      </w:r>
      <w:r w:rsidRPr="00AF20E2">
        <w:rPr>
          <w:rFonts w:ascii="Avenir Next" w:eastAsia="Montserrat" w:hAnsi="Avenir Next" w:cs="Montserrat"/>
          <w:color w:val="000000"/>
          <w:sz w:val="20"/>
          <w:szCs w:val="20"/>
          <w:lang w:val="es-ES"/>
        </w:rPr>
        <w:lastRenderedPageBreak/>
        <w:t xml:space="preserve">toman e implementan las decisiones, que proporciona una base para generar confianza, apoyo, acuerdo y legitimidad; </w:t>
      </w:r>
    </w:p>
    <w:p w14:paraId="5D45142A" w14:textId="77777777" w:rsidR="00F64485" w:rsidRPr="00AF20E2" w:rsidRDefault="00000000">
      <w:pPr>
        <w:numPr>
          <w:ilvl w:val="0"/>
          <w:numId w:val="1"/>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Responsabilidad – </w:t>
      </w:r>
      <w:r w:rsidRPr="00AF20E2">
        <w:rPr>
          <w:rFonts w:ascii="Avenir Next" w:eastAsia="Montserrat" w:hAnsi="Avenir Next" w:cs="Montserrat"/>
          <w:color w:val="000000"/>
          <w:sz w:val="20"/>
          <w:szCs w:val="20"/>
          <w:lang w:val="es-ES"/>
        </w:rPr>
        <w:t xml:space="preserve">a través de mecanismos de supervisión eficaces y transparentes que garanticen que la distribución de ingresos se gobierne e implemente según lo acordado; </w:t>
      </w:r>
    </w:p>
    <w:p w14:paraId="3E236726" w14:textId="77777777" w:rsidR="00F64485" w:rsidRPr="00AF20E2" w:rsidRDefault="00000000">
      <w:pPr>
        <w:numPr>
          <w:ilvl w:val="0"/>
          <w:numId w:val="1"/>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Equidad e inclusión – </w:t>
      </w:r>
      <w:r w:rsidRPr="00AF20E2">
        <w:rPr>
          <w:rFonts w:ascii="Avenir Next" w:eastAsia="Montserrat" w:hAnsi="Avenir Next" w:cs="Montserrat"/>
          <w:color w:val="000000"/>
          <w:sz w:val="20"/>
          <w:szCs w:val="20"/>
          <w:lang w:val="es-ES"/>
        </w:rPr>
        <w:t xml:space="preserve">en el diseño e implementación de la distribución de ingresos de una manera justa, imparcial e inclusiva, garantizando la no discriminación hacia las mujeres y los individuos y grupos vulnerables y/o marginados; y </w:t>
      </w:r>
    </w:p>
    <w:p w14:paraId="6F38F91D" w14:textId="77777777" w:rsidR="00F64485" w:rsidRPr="00AF20E2" w:rsidRDefault="00000000">
      <w:pPr>
        <w:numPr>
          <w:ilvl w:val="0"/>
          <w:numId w:val="1"/>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Efectividad y eficiencia: </w:t>
      </w:r>
      <w:r w:rsidRPr="00AF20E2">
        <w:rPr>
          <w:rFonts w:ascii="Avenir Next" w:eastAsia="Montserrat" w:hAnsi="Avenir Next" w:cs="Montserrat"/>
          <w:color w:val="000000"/>
          <w:sz w:val="20"/>
          <w:szCs w:val="20"/>
          <w:lang w:val="es-ES"/>
        </w:rPr>
        <w:t xml:space="preserve">en el cumplimiento de los objetivos acordados para la distribución de beneficios, asegurando que los beneficios lleguen a los beneficiarios de manera oportuna mientras minimizando los costos. </w:t>
      </w:r>
    </w:p>
    <w:p w14:paraId="77B9C558" w14:textId="0BE29F32" w:rsidR="00F64485" w:rsidRPr="00AF20E2" w:rsidRDefault="00000000">
      <w:pPr>
        <w:spacing w:before="120" w:after="120" w:line="336" w:lineRule="auto"/>
        <w:rPr>
          <w:rFonts w:ascii="Avenir Next" w:hAnsi="Avenir Next"/>
          <w:sz w:val="20"/>
          <w:szCs w:val="20"/>
          <w:lang w:val="es-ES"/>
        </w:rPr>
      </w:pPr>
      <w:r w:rsidRPr="00AF20E2">
        <w:rPr>
          <w:rFonts w:ascii="Avenir Next" w:eastAsia="Montserrat" w:hAnsi="Avenir Next" w:cs="Montserrat"/>
          <w:color w:val="000000"/>
          <w:sz w:val="20"/>
          <w:szCs w:val="20"/>
          <w:lang w:val="es-ES"/>
        </w:rPr>
        <w:t>Además, según las mejores prácticas internacionales</w:t>
      </w:r>
      <w:r w:rsidR="005A729A">
        <w:rPr>
          <w:rStyle w:val="FootnoteReference"/>
          <w:rFonts w:ascii="Avenir Next" w:eastAsia="Montserrat" w:hAnsi="Avenir Next" w:cs="Montserrat"/>
          <w:color w:val="000000"/>
          <w:sz w:val="20"/>
          <w:szCs w:val="20"/>
          <w:lang w:val="es-ES"/>
        </w:rPr>
        <w:footnoteReference w:id="4"/>
      </w:r>
      <w:r w:rsidRPr="00AF20E2">
        <w:rPr>
          <w:rFonts w:ascii="Avenir Next" w:eastAsia="Montserrat" w:hAnsi="Avenir Next" w:cs="Montserrat"/>
          <w:color w:val="000000"/>
          <w:sz w:val="20"/>
          <w:szCs w:val="20"/>
          <w:lang w:val="es-ES"/>
        </w:rPr>
        <w:t xml:space="preserve">, un plan o sistema de distribución de ingresos de REDD+ debe abarcar claramente los siguientes elementos: </w:t>
      </w:r>
    </w:p>
    <w:p w14:paraId="2CD4ABE5" w14:textId="77777777" w:rsidR="00F64485" w:rsidRPr="00AF20E2" w:rsidRDefault="00000000">
      <w:pPr>
        <w:numPr>
          <w:ilvl w:val="0"/>
          <w:numId w:val="2"/>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Beneficiarios. </w:t>
      </w:r>
      <w:r w:rsidRPr="00AF20E2">
        <w:rPr>
          <w:rFonts w:ascii="Avenir Next" w:eastAsia="Montserrat" w:hAnsi="Avenir Next" w:cs="Montserrat"/>
          <w:color w:val="000000"/>
          <w:sz w:val="20"/>
          <w:szCs w:val="20"/>
          <w:lang w:val="es-ES"/>
        </w:rPr>
        <w:t xml:space="preserve">Se entiende por beneficiarios a un grupo de actores (personas involucradas o afectadas por la implementación del Programa REDD+) que recibirán incentivos monetarios y/o no monetarios resultantes del Programa REDD+. Los beneficiarios pueden incluir, entre otros, comunidades, la sociedad civil y el sector privado, incluido cualquier proyecto REDD+ anidado. Los gobiernos, como Entidades del Programa y partes del ERPA, pueden ser considerados beneficiarios y retener una cierta cantidad de Pagos del ERPA para cubrir sus costos de implementación y/o gestión del Programa REDD+ o para crear las condiciones propicias para lograr los resultados de REDD+. </w:t>
      </w:r>
    </w:p>
    <w:p w14:paraId="75D32B75" w14:textId="089E2DE8" w:rsidR="00F64485" w:rsidRPr="00AF20E2" w:rsidRDefault="00000000">
      <w:pPr>
        <w:numPr>
          <w:ilvl w:val="0"/>
          <w:numId w:val="2"/>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Incentivos. </w:t>
      </w:r>
      <w:r w:rsidRPr="00AF20E2">
        <w:rPr>
          <w:rFonts w:ascii="Avenir Next" w:eastAsia="Montserrat" w:hAnsi="Avenir Next" w:cs="Montserrat"/>
          <w:color w:val="000000"/>
          <w:sz w:val="20"/>
          <w:szCs w:val="20"/>
          <w:lang w:val="es-ES"/>
        </w:rPr>
        <w:t>El plan debe describir los tipos de incentivos que se espera ofrecer en correlación con las acciones REDD+ relevantes, que incluyen incentivos monetarios y/o no monetarios.</w:t>
      </w:r>
      <w:r w:rsidR="00AF20E2" w:rsidRPr="00AF20E2">
        <w:rPr>
          <w:rStyle w:val="FootnoteReference"/>
          <w:rFonts w:ascii="Avenir Next" w:eastAsia="Montserrat" w:hAnsi="Avenir Next" w:cs="Montserrat"/>
          <w:color w:val="000000"/>
          <w:sz w:val="20"/>
          <w:szCs w:val="20"/>
          <w:lang w:val="es-ES"/>
        </w:rPr>
        <w:footnoteReference w:id="5"/>
      </w:r>
      <w:r w:rsidRPr="00AF20E2">
        <w:rPr>
          <w:rFonts w:ascii="Avenir Next" w:eastAsia="Montserrat" w:hAnsi="Avenir Next" w:cs="Montserrat"/>
          <w:color w:val="000000"/>
          <w:sz w:val="20"/>
          <w:szCs w:val="20"/>
          <w:lang w:val="es-ES"/>
        </w:rPr>
        <w:t xml:space="preserve">. </w:t>
      </w:r>
    </w:p>
    <w:p w14:paraId="41371B58" w14:textId="77777777" w:rsidR="00F64485" w:rsidRPr="00AF20E2" w:rsidRDefault="00000000">
      <w:pPr>
        <w:numPr>
          <w:ilvl w:val="0"/>
          <w:numId w:val="2"/>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 El mecanismo o proceso para la distribución de incentivos. </w:t>
      </w:r>
      <w:r w:rsidRPr="00AF20E2">
        <w:rPr>
          <w:rFonts w:ascii="Avenir Next" w:eastAsia="Montserrat" w:hAnsi="Avenir Next" w:cs="Montserrat"/>
          <w:color w:val="000000"/>
          <w:sz w:val="20"/>
          <w:szCs w:val="20"/>
          <w:lang w:val="es-ES"/>
        </w:rPr>
        <w:t xml:space="preserve">El plan debe describir la forma en que se compartirán los incentivos monetarios y no monetarios con los beneficiarios, incluyendo tanto su proporción como el mecanismo utilizado. </w:t>
      </w:r>
    </w:p>
    <w:p w14:paraId="7A20D1C3" w14:textId="77777777" w:rsidR="00F64485" w:rsidRPr="00AF20E2" w:rsidRDefault="00000000">
      <w:pPr>
        <w:numPr>
          <w:ilvl w:val="0"/>
          <w:numId w:val="2"/>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Los arreglos institucionales necesarios. </w:t>
      </w:r>
      <w:r w:rsidRPr="00AF20E2">
        <w:rPr>
          <w:rFonts w:ascii="Avenir Next" w:eastAsia="Montserrat" w:hAnsi="Avenir Next" w:cs="Montserrat"/>
          <w:color w:val="000000"/>
          <w:sz w:val="20"/>
          <w:szCs w:val="20"/>
          <w:lang w:val="es-ES"/>
        </w:rPr>
        <w:t xml:space="preserve">El plan también debe especificar la institución responsable del plan o sistema de distribución de ingresos. </w:t>
      </w:r>
    </w:p>
    <w:p w14:paraId="581C1B07" w14:textId="77777777" w:rsidR="00F64485" w:rsidRPr="00AF20E2" w:rsidRDefault="00000000">
      <w:pPr>
        <w:numPr>
          <w:ilvl w:val="0"/>
          <w:numId w:val="2"/>
        </w:numPr>
        <w:spacing w:line="336" w:lineRule="auto"/>
        <w:rPr>
          <w:rFonts w:ascii="Avenir Next" w:hAnsi="Avenir Next"/>
          <w:sz w:val="20"/>
          <w:szCs w:val="20"/>
          <w:lang w:val="es-ES"/>
        </w:rPr>
      </w:pPr>
      <w:r w:rsidRPr="00AF20E2">
        <w:rPr>
          <w:rFonts w:ascii="Avenir Next" w:eastAsia="Montserrat Italics" w:hAnsi="Avenir Next" w:cs="Montserrat Italics"/>
          <w:i/>
          <w:iCs/>
          <w:color w:val="000000"/>
          <w:sz w:val="20"/>
          <w:szCs w:val="20"/>
          <w:lang w:val="es-ES"/>
        </w:rPr>
        <w:t xml:space="preserve">Las disposiciones de monitoreo. </w:t>
      </w:r>
      <w:r w:rsidRPr="00AF20E2">
        <w:rPr>
          <w:rFonts w:ascii="Avenir Next" w:eastAsia="Montserrat" w:hAnsi="Avenir Next" w:cs="Montserrat"/>
          <w:color w:val="000000"/>
          <w:sz w:val="20"/>
          <w:szCs w:val="20"/>
          <w:lang w:val="es-ES"/>
        </w:rPr>
        <w:t xml:space="preserve">Finalmente, el plan o sistema de distribución de ingresos debe describir las disposiciones de monitoreo para asegurar su correcta implementación. </w:t>
      </w:r>
    </w:p>
    <w:p w14:paraId="4945B8AE" w14:textId="77777777" w:rsidR="00F64485" w:rsidRPr="00AF20E2" w:rsidRDefault="00000000">
      <w:pPr>
        <w:spacing w:before="120" w:after="120" w:line="336" w:lineRule="auto"/>
        <w:rPr>
          <w:rFonts w:ascii="Avenir Next" w:hAnsi="Avenir Next"/>
          <w:sz w:val="20"/>
          <w:szCs w:val="20"/>
          <w:lang w:val="es-ES"/>
        </w:rPr>
      </w:pPr>
      <w:r w:rsidRPr="00AF20E2">
        <w:rPr>
          <w:rFonts w:ascii="Avenir Next" w:eastAsia="Montserrat" w:hAnsi="Avenir Next" w:cs="Montserrat"/>
          <w:color w:val="000000"/>
          <w:sz w:val="20"/>
          <w:szCs w:val="20"/>
          <w:lang w:val="es-ES"/>
        </w:rPr>
        <w:t xml:space="preserve"> Por lo tanto, esta herramienta está destinada a ayudar a los programas J-REDD+ a comprender mejor: </w:t>
      </w:r>
    </w:p>
    <w:p w14:paraId="12CABC96" w14:textId="77777777" w:rsidR="00F64485" w:rsidRPr="00AF20E2" w:rsidRDefault="00000000">
      <w:pPr>
        <w:numPr>
          <w:ilvl w:val="0"/>
          <w:numId w:val="3"/>
        </w:numPr>
        <w:spacing w:line="336" w:lineRule="auto"/>
        <w:rPr>
          <w:rFonts w:ascii="Avenir Next" w:hAnsi="Avenir Next"/>
          <w:sz w:val="20"/>
          <w:szCs w:val="20"/>
          <w:lang w:val="es-ES"/>
        </w:rPr>
      </w:pPr>
      <w:r w:rsidRPr="00AF20E2">
        <w:rPr>
          <w:rFonts w:ascii="Avenir Next" w:eastAsia="Montserrat" w:hAnsi="Avenir Next" w:cs="Montserrat"/>
          <w:color w:val="000000"/>
          <w:sz w:val="20"/>
          <w:szCs w:val="20"/>
          <w:lang w:val="es-ES"/>
        </w:rPr>
        <w:t xml:space="preserve">El nivel de alineación de su plan o sistema de distribución de ingresos de REDD+ con las mejores prácticas internacionales; </w:t>
      </w:r>
    </w:p>
    <w:p w14:paraId="6A2BFB53" w14:textId="12CACD20" w:rsidR="00AF20E2" w:rsidRDefault="00000000" w:rsidP="00AF20E2">
      <w:pPr>
        <w:numPr>
          <w:ilvl w:val="0"/>
          <w:numId w:val="3"/>
        </w:numPr>
        <w:spacing w:line="336" w:lineRule="auto"/>
        <w:rPr>
          <w:rFonts w:ascii="Avenir Next" w:hAnsi="Avenir Next"/>
          <w:sz w:val="20"/>
          <w:szCs w:val="20"/>
          <w:lang w:val="es-ES"/>
        </w:rPr>
      </w:pPr>
      <w:r w:rsidRPr="00AF20E2">
        <w:rPr>
          <w:rFonts w:ascii="Avenir Next" w:eastAsia="Montserrat" w:hAnsi="Avenir Next" w:cs="Montserrat"/>
          <w:color w:val="000000"/>
          <w:sz w:val="20"/>
          <w:szCs w:val="20"/>
          <w:lang w:val="es-ES"/>
        </w:rPr>
        <w:lastRenderedPageBreak/>
        <w:t xml:space="preserve">Identificar cualquier brecha, debilidad y/o posible inconsistencia en estos acuerdos, e identificar recomendaciones para abordarlas. </w:t>
      </w:r>
    </w:p>
    <w:p w14:paraId="799FCF2C" w14:textId="77777777" w:rsidR="00AF20E2" w:rsidRPr="00AF20E2" w:rsidRDefault="00AF20E2" w:rsidP="00AF20E2">
      <w:pPr>
        <w:spacing w:line="336" w:lineRule="auto"/>
        <w:ind w:left="40"/>
        <w:rPr>
          <w:rFonts w:ascii="Avenir Next" w:hAnsi="Avenir Next"/>
          <w:sz w:val="20"/>
          <w:szCs w:val="20"/>
          <w:lang w:val="es-ES"/>
        </w:rPr>
      </w:pPr>
    </w:p>
    <w:p w14:paraId="63221F6F" w14:textId="321852C4" w:rsidR="00F64485" w:rsidRPr="00AF20E2" w:rsidRDefault="00AF20E2">
      <w:pPr>
        <w:spacing w:before="120" w:after="120" w:line="336" w:lineRule="auto"/>
        <w:rPr>
          <w:rFonts w:ascii="Bodoni 72 Book" w:hAnsi="Bodoni 72 Book"/>
          <w:lang w:val="es-ES"/>
        </w:rPr>
      </w:pPr>
      <w:r w:rsidRPr="00AF20E2">
        <w:rPr>
          <w:rFonts w:ascii="Bodoni 72 Book" w:eastAsia="Prata" w:hAnsi="Bodoni 72 Book" w:cs="Prata"/>
          <w:color w:val="573B46"/>
          <w:sz w:val="64"/>
          <w:szCs w:val="64"/>
          <w:lang w:val="es-ES"/>
        </w:rPr>
        <w:t xml:space="preserve">¿Cómo utilizar esta herramienta? </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firstRow="0" w:lastRow="0" w:firstColumn="0" w:lastColumn="0" w:noHBand="0" w:noVBand="0"/>
      </w:tblPr>
      <w:tblGrid>
        <w:gridCol w:w="9030"/>
      </w:tblGrid>
      <w:tr w:rsidR="00F64485" w:rsidRPr="00AF20E2" w14:paraId="29530511" w14:textId="77777777">
        <w:tc>
          <w:tcPr>
            <w:tcW w:w="9030" w:type="dxa"/>
            <w:shd w:val="clear" w:color="auto" w:fill="573B46"/>
            <w:tcMar>
              <w:top w:w="180" w:type="dxa"/>
              <w:left w:w="180" w:type="dxa"/>
              <w:bottom w:w="180" w:type="dxa"/>
              <w:right w:w="180" w:type="dxa"/>
            </w:tcMar>
          </w:tcPr>
          <w:p w14:paraId="6BAE7E82" w14:textId="77777777" w:rsidR="00AF20E2" w:rsidRPr="00AF20E2" w:rsidRDefault="00000000" w:rsidP="00AF20E2">
            <w:pPr>
              <w:spacing w:before="120" w:after="120" w:line="336" w:lineRule="auto"/>
              <w:rPr>
                <w:rFonts w:ascii="Avenir Next" w:eastAsia="IBM Plex Sans" w:hAnsi="Avenir Next" w:cs="IBM Plex Sans"/>
                <w:color w:val="FFFFFF"/>
                <w:sz w:val="20"/>
                <w:szCs w:val="20"/>
                <w:lang w:val="es-ES"/>
              </w:rPr>
            </w:pPr>
            <w:r w:rsidRPr="00AF20E2">
              <w:rPr>
                <w:rFonts w:ascii="Avenir Next" w:eastAsia="IBM Plex Sans" w:hAnsi="Avenir Next" w:cs="IBM Plex Sans"/>
                <w:color w:val="FFFFFF"/>
                <w:sz w:val="20"/>
                <w:szCs w:val="20"/>
                <w:lang w:val="es-ES"/>
              </w:rPr>
              <w:t xml:space="preserve">Esta herramienta se divide en dos secciones: </w:t>
            </w:r>
          </w:p>
          <w:p w14:paraId="07E932CF" w14:textId="77777777" w:rsidR="00AF20E2" w:rsidRPr="00AF20E2" w:rsidRDefault="00000000" w:rsidP="00AF20E2">
            <w:pPr>
              <w:pStyle w:val="ListParagraph"/>
              <w:numPr>
                <w:ilvl w:val="0"/>
                <w:numId w:val="13"/>
              </w:numPr>
              <w:spacing w:before="120" w:after="120" w:line="336" w:lineRule="auto"/>
              <w:rPr>
                <w:rFonts w:ascii="Avenir Next" w:eastAsia="IBM Plex Sans" w:hAnsi="Avenir Next" w:cs="IBM Plex Sans"/>
                <w:color w:val="FFFFFF"/>
                <w:sz w:val="20"/>
                <w:szCs w:val="20"/>
                <w:lang w:val="es-ES"/>
              </w:rPr>
            </w:pPr>
            <w:r w:rsidRPr="00AF20E2">
              <w:rPr>
                <w:rFonts w:ascii="Avenir Next" w:eastAsia="IBM Plex Sans Bold" w:hAnsi="Avenir Next" w:cs="IBM Plex Sans Bold"/>
                <w:b/>
                <w:bCs/>
                <w:color w:val="FFFFFF"/>
                <w:sz w:val="20"/>
                <w:szCs w:val="20"/>
                <w:lang w:val="es-ES"/>
              </w:rPr>
              <w:t>Sección A</w:t>
            </w:r>
            <w:r w:rsidRPr="00AF20E2">
              <w:rPr>
                <w:rFonts w:ascii="Avenir Next" w:eastAsia="IBM Plex Sans" w:hAnsi="Avenir Next" w:cs="IBM Plex Sans"/>
                <w:color w:val="FFFFFF"/>
                <w:sz w:val="20"/>
                <w:szCs w:val="20"/>
                <w:lang w:val="es-ES"/>
              </w:rPr>
              <w:t xml:space="preserve">: presenta un cuestionario que guía a los usuarios a través de la evaluación técnica cualitativa del plan o sistema de distribución de ingresos de REDD+; y </w:t>
            </w:r>
          </w:p>
          <w:p w14:paraId="727C659C" w14:textId="56A15FE8" w:rsidR="00F64485" w:rsidRPr="00AF20E2" w:rsidRDefault="00000000" w:rsidP="00AF20E2">
            <w:pPr>
              <w:pStyle w:val="ListParagraph"/>
              <w:numPr>
                <w:ilvl w:val="0"/>
                <w:numId w:val="13"/>
              </w:numPr>
              <w:spacing w:before="120" w:after="120" w:line="336" w:lineRule="auto"/>
              <w:rPr>
                <w:rFonts w:ascii="IBM Plex Sans" w:eastAsia="IBM Plex Sans" w:hAnsi="IBM Plex Sans" w:cs="IBM Plex Sans"/>
                <w:color w:val="FFFFFF"/>
                <w:sz w:val="22"/>
                <w:szCs w:val="22"/>
                <w:lang w:val="es-ES"/>
              </w:rPr>
            </w:pPr>
            <w:r w:rsidRPr="00AF20E2">
              <w:rPr>
                <w:rFonts w:ascii="Avenir Next" w:eastAsia="IBM Plex Sans Bold" w:hAnsi="Avenir Next" w:cs="IBM Plex Sans Bold"/>
                <w:b/>
                <w:bCs/>
                <w:color w:val="FFFFFF"/>
                <w:sz w:val="20"/>
                <w:szCs w:val="20"/>
                <w:lang w:val="es-ES"/>
              </w:rPr>
              <w:t>Sección B</w:t>
            </w:r>
            <w:r w:rsidRPr="00AF20E2">
              <w:rPr>
                <w:rFonts w:ascii="Avenir Next" w:eastAsia="IBM Plex Sans" w:hAnsi="Avenir Next" w:cs="IBM Plex Sans"/>
                <w:color w:val="FFFFFF"/>
                <w:sz w:val="20"/>
                <w:szCs w:val="20"/>
                <w:lang w:val="es-ES"/>
              </w:rPr>
              <w:t xml:space="preserve">: presenta una plantilla de informe, que se completará en función de los resultados de la Sección 'A', e informará el desarrollo de las hojas de ruta de J-REDD+ (Herramienta 8). </w:t>
            </w:r>
          </w:p>
        </w:tc>
      </w:tr>
    </w:tbl>
    <w:p w14:paraId="7871704B" w14:textId="77777777" w:rsidR="00AF20E2" w:rsidRPr="00AF20E2" w:rsidRDefault="00AF20E2">
      <w:pPr>
        <w:spacing w:before="120" w:after="120" w:line="336" w:lineRule="auto"/>
        <w:rPr>
          <w:rFonts w:ascii="Montserrat" w:eastAsia="Montserrat" w:hAnsi="Montserrat" w:cs="Montserrat"/>
          <w:color w:val="000000"/>
          <w:sz w:val="64"/>
          <w:szCs w:val="64"/>
          <w:lang w:val="es-ES"/>
        </w:rPr>
      </w:pPr>
    </w:p>
    <w:p w14:paraId="017ACAB7" w14:textId="77777777" w:rsidR="00AF20E2" w:rsidRPr="00AF20E2" w:rsidRDefault="00AF20E2" w:rsidP="00AF20E2">
      <w:pPr>
        <w:spacing w:before="120" w:after="120" w:line="336" w:lineRule="auto"/>
        <w:rPr>
          <w:rFonts w:ascii="Bodoni 72 Book" w:eastAsia="Montserrat" w:hAnsi="Bodoni 72 Book" w:cs="Montserrat"/>
          <w:color w:val="AFAAC2"/>
          <w:sz w:val="64"/>
          <w:szCs w:val="64"/>
          <w:lang w:val="es-ES"/>
        </w:rPr>
      </w:pPr>
    </w:p>
    <w:p w14:paraId="74707F99" w14:textId="77777777" w:rsidR="00AF20E2" w:rsidRPr="00AF20E2" w:rsidRDefault="00AF20E2" w:rsidP="00AF20E2">
      <w:pPr>
        <w:spacing w:before="120" w:after="120" w:line="336" w:lineRule="auto"/>
        <w:rPr>
          <w:rFonts w:ascii="Bodoni 72 Book" w:eastAsia="Montserrat" w:hAnsi="Bodoni 72 Book" w:cs="Montserrat"/>
          <w:color w:val="AFAAC2"/>
          <w:sz w:val="64"/>
          <w:szCs w:val="64"/>
          <w:lang w:val="es-ES"/>
        </w:rPr>
      </w:pPr>
    </w:p>
    <w:p w14:paraId="031BB335" w14:textId="77777777" w:rsidR="00AF20E2" w:rsidRPr="00AF20E2" w:rsidRDefault="00AF20E2" w:rsidP="00AF20E2">
      <w:pPr>
        <w:spacing w:before="120" w:after="120" w:line="336" w:lineRule="auto"/>
        <w:rPr>
          <w:rFonts w:ascii="Bodoni 72 Book" w:eastAsia="Montserrat" w:hAnsi="Bodoni 72 Book" w:cs="Montserrat"/>
          <w:color w:val="AFAAC2"/>
          <w:sz w:val="64"/>
          <w:szCs w:val="64"/>
          <w:lang w:val="es-ES"/>
        </w:rPr>
      </w:pPr>
    </w:p>
    <w:p w14:paraId="7345D256" w14:textId="77777777" w:rsidR="00AF20E2" w:rsidRPr="00AF20E2" w:rsidRDefault="00AF20E2" w:rsidP="00AF20E2">
      <w:pPr>
        <w:spacing w:before="120" w:after="120" w:line="336" w:lineRule="auto"/>
        <w:rPr>
          <w:rFonts w:ascii="Bodoni 72 Book" w:eastAsia="Montserrat" w:hAnsi="Bodoni 72 Book" w:cs="Montserrat"/>
          <w:color w:val="AFAAC2"/>
          <w:sz w:val="64"/>
          <w:szCs w:val="64"/>
          <w:lang w:val="es-ES"/>
        </w:rPr>
      </w:pPr>
    </w:p>
    <w:p w14:paraId="07527D52" w14:textId="77777777" w:rsidR="00AF20E2" w:rsidRPr="00AF20E2" w:rsidRDefault="00AF20E2" w:rsidP="00AF20E2">
      <w:pPr>
        <w:spacing w:before="120" w:after="120" w:line="336" w:lineRule="auto"/>
        <w:rPr>
          <w:rFonts w:ascii="Bodoni 72 Book" w:eastAsia="Montserrat" w:hAnsi="Bodoni 72 Book" w:cs="Montserrat"/>
          <w:color w:val="AFAAC2"/>
          <w:sz w:val="64"/>
          <w:szCs w:val="64"/>
          <w:lang w:val="es-ES"/>
        </w:rPr>
      </w:pPr>
    </w:p>
    <w:p w14:paraId="10A97D2E" w14:textId="77777777" w:rsidR="00AF20E2" w:rsidRPr="00AF20E2" w:rsidRDefault="00AF20E2" w:rsidP="00AF20E2">
      <w:pPr>
        <w:spacing w:before="120" w:after="120" w:line="336" w:lineRule="auto"/>
        <w:rPr>
          <w:rFonts w:ascii="Bodoni 72 Book" w:eastAsia="Montserrat" w:hAnsi="Bodoni 72 Book" w:cs="Montserrat"/>
          <w:color w:val="AFAAC2"/>
          <w:sz w:val="64"/>
          <w:szCs w:val="64"/>
          <w:lang w:val="es-ES"/>
        </w:rPr>
      </w:pPr>
    </w:p>
    <w:p w14:paraId="56B36DDB" w14:textId="77777777" w:rsidR="00AF20E2" w:rsidRPr="00AF20E2" w:rsidRDefault="00AF20E2" w:rsidP="00AF20E2">
      <w:pPr>
        <w:spacing w:before="120" w:after="120" w:line="336" w:lineRule="auto"/>
        <w:rPr>
          <w:rFonts w:ascii="Bodoni 72 Book" w:eastAsia="Montserrat" w:hAnsi="Bodoni 72 Book" w:cs="Montserrat"/>
          <w:color w:val="AFAAC2"/>
          <w:sz w:val="64"/>
          <w:szCs w:val="64"/>
          <w:lang w:val="es-ES"/>
        </w:rPr>
      </w:pPr>
    </w:p>
    <w:p w14:paraId="6C3390A6" w14:textId="51341917" w:rsidR="00AF20E2" w:rsidRPr="00AF20E2" w:rsidRDefault="00AF20E2" w:rsidP="00AF20E2">
      <w:pPr>
        <w:spacing w:before="120" w:after="120" w:line="336" w:lineRule="auto"/>
        <w:rPr>
          <w:rFonts w:ascii="Bodoni 72 Book" w:eastAsia="Montserrat" w:hAnsi="Bodoni 72 Book" w:cs="Montserrat"/>
          <w:color w:val="573B46"/>
          <w:sz w:val="64"/>
          <w:szCs w:val="64"/>
          <w:lang w:val="es-ES"/>
        </w:rPr>
      </w:pPr>
      <w:r w:rsidRPr="00AF20E2">
        <w:rPr>
          <w:rFonts w:ascii="Bodoni 72 Book" w:eastAsia="Montserrat" w:hAnsi="Bodoni 72 Book" w:cs="Montserrat"/>
          <w:color w:val="573B46"/>
          <w:sz w:val="64"/>
          <w:szCs w:val="64"/>
          <w:lang w:val="es-ES"/>
        </w:rPr>
        <w:t>Sección A - Cuestionario</w:t>
      </w:r>
    </w:p>
    <w:p w14:paraId="114117EF" w14:textId="70A48EA5" w:rsidR="00AF20E2" w:rsidRPr="00AF20E2" w:rsidRDefault="00AF20E2" w:rsidP="00AF20E2">
      <w:pPr>
        <w:spacing w:before="120" w:after="120" w:line="336" w:lineRule="auto"/>
        <w:rPr>
          <w:rFonts w:ascii="Avenir Next" w:eastAsia="IBM Plex Sans" w:hAnsi="Avenir Next" w:cs="IBM Plex Sans"/>
          <w:color w:val="000000"/>
          <w:sz w:val="20"/>
          <w:szCs w:val="20"/>
          <w:lang w:val="es-ES"/>
        </w:rPr>
      </w:pPr>
      <w:r w:rsidRPr="00AF20E2">
        <w:rPr>
          <w:rFonts w:ascii="Avenir Next" w:eastAsia="IBM Plex Sans" w:hAnsi="Avenir Next" w:cs="IBM Plex Sans"/>
          <w:color w:val="000000"/>
          <w:sz w:val="20"/>
          <w:szCs w:val="20"/>
          <w:lang w:val="es-ES"/>
        </w:rPr>
        <w:t>El cuestionario está estructurado en diferentes categorías, que se correlacionan con las mejores prácticas internacionales.</w:t>
      </w:r>
    </w:p>
    <w:p w14:paraId="093FE765" w14:textId="77777777" w:rsidR="00AF20E2" w:rsidRPr="00AF20E2" w:rsidRDefault="00AF20E2" w:rsidP="00AF20E2">
      <w:pPr>
        <w:spacing w:before="120" w:after="120" w:line="336" w:lineRule="auto"/>
        <w:rPr>
          <w:rFonts w:ascii="Avenir Next" w:eastAsia="IBM Plex Sans" w:hAnsi="Avenir Next" w:cs="IBM Plex Sans"/>
          <w:color w:val="000000"/>
          <w:sz w:val="20"/>
          <w:szCs w:val="20"/>
          <w:lang w:val="es-ES"/>
        </w:rPr>
      </w:pPr>
      <w:r w:rsidRPr="00AF20E2">
        <w:rPr>
          <w:rFonts w:ascii="Avenir Next" w:eastAsia="IBM Plex Sans" w:hAnsi="Avenir Next" w:cs="IBM Plex Sans"/>
          <w:color w:val="000000"/>
          <w:sz w:val="20"/>
          <w:szCs w:val="20"/>
          <w:lang w:val="es-ES"/>
        </w:rPr>
        <w:t>Para completar este cuestionario, los usuarios deben considerar el alcance de cada columna de la siguiente manera:</w:t>
      </w:r>
    </w:p>
    <w:p w14:paraId="739CD0AD" w14:textId="77777777" w:rsidR="00AF20E2" w:rsidRPr="00AF20E2" w:rsidRDefault="00AF20E2" w:rsidP="00AF20E2">
      <w:pPr>
        <w:pStyle w:val="ListParagraph"/>
        <w:numPr>
          <w:ilvl w:val="0"/>
          <w:numId w:val="14"/>
        </w:numPr>
        <w:spacing w:before="120" w:after="120" w:line="336" w:lineRule="auto"/>
        <w:rPr>
          <w:rFonts w:ascii="Avenir Next" w:eastAsia="IBM Plex Sans" w:hAnsi="Avenir Next" w:cs="IBM Plex Sans"/>
          <w:color w:val="000000"/>
          <w:sz w:val="20"/>
          <w:szCs w:val="20"/>
          <w:lang w:val="es-ES"/>
        </w:rPr>
      </w:pPr>
      <w:r w:rsidRPr="00AF20E2">
        <w:rPr>
          <w:rFonts w:ascii="Avenir Next" w:eastAsia="IBM Plex Sans" w:hAnsi="Avenir Next" w:cs="IBM Plex Sans"/>
          <w:color w:val="000000"/>
          <w:sz w:val="20"/>
          <w:szCs w:val="20"/>
          <w:u w:val="single"/>
          <w:lang w:val="es-ES"/>
        </w:rPr>
        <w:t>Preguntas:</w:t>
      </w:r>
      <w:r w:rsidRPr="00AF20E2">
        <w:rPr>
          <w:rFonts w:ascii="Avenir Next" w:eastAsia="IBM Plex Sans" w:hAnsi="Avenir Next" w:cs="IBM Plex Sans"/>
          <w:color w:val="000000"/>
          <w:sz w:val="20"/>
          <w:szCs w:val="20"/>
          <w:lang w:val="es-ES"/>
        </w:rPr>
        <w:t xml:space="preserve"> presenta preguntas orientativas para los usuarios.</w:t>
      </w:r>
    </w:p>
    <w:p w14:paraId="61FE6585" w14:textId="77777777" w:rsidR="00AF20E2" w:rsidRPr="00AF20E2" w:rsidRDefault="00AF20E2" w:rsidP="00AF20E2">
      <w:pPr>
        <w:pStyle w:val="ListParagraph"/>
        <w:numPr>
          <w:ilvl w:val="0"/>
          <w:numId w:val="14"/>
        </w:numPr>
        <w:spacing w:before="120" w:after="120" w:line="336" w:lineRule="auto"/>
        <w:rPr>
          <w:rFonts w:ascii="Avenir Next" w:eastAsia="IBM Plex Sans" w:hAnsi="Avenir Next" w:cs="IBM Plex Sans"/>
          <w:color w:val="000000"/>
          <w:sz w:val="20"/>
          <w:szCs w:val="20"/>
          <w:lang w:val="es-ES"/>
        </w:rPr>
      </w:pPr>
      <w:r w:rsidRPr="00AF20E2">
        <w:rPr>
          <w:rFonts w:ascii="Avenir Next" w:eastAsia="IBM Plex Sans" w:hAnsi="Avenir Next" w:cs="IBM Plex Sans"/>
          <w:color w:val="000000"/>
          <w:sz w:val="20"/>
          <w:szCs w:val="20"/>
          <w:u w:val="single"/>
          <w:lang w:val="es-ES"/>
        </w:rPr>
        <w:t>Puntuación:</w:t>
      </w:r>
      <w:r w:rsidRPr="00AF20E2">
        <w:rPr>
          <w:rFonts w:ascii="Avenir Next" w:eastAsia="IBM Plex Sans" w:hAnsi="Avenir Next" w:cs="IBM Plex Sans"/>
          <w:color w:val="000000"/>
          <w:sz w:val="20"/>
          <w:szCs w:val="20"/>
          <w:lang w:val="es-ES"/>
        </w:rPr>
        <w:t xml:space="preserve"> al responder las preguntas guía, los usuarios deben aplicar la siguiente guía de puntuación:</w:t>
      </w:r>
    </w:p>
    <w:p w14:paraId="77899613" w14:textId="58B43440" w:rsidR="00AF20E2" w:rsidRPr="00AF20E2" w:rsidRDefault="00AF20E2" w:rsidP="00AF20E2">
      <w:pPr>
        <w:pStyle w:val="ListParagraph"/>
        <w:numPr>
          <w:ilvl w:val="1"/>
          <w:numId w:val="14"/>
        </w:numPr>
        <w:spacing w:before="120" w:after="120" w:line="336" w:lineRule="auto"/>
        <w:rPr>
          <w:rFonts w:ascii="Avenir Next" w:eastAsia="IBM Plex Sans" w:hAnsi="Avenir Next" w:cs="IBM Plex Sans"/>
          <w:color w:val="000000"/>
          <w:sz w:val="20"/>
          <w:szCs w:val="20"/>
          <w:lang w:val="es-ES"/>
        </w:rPr>
      </w:pPr>
      <w:r w:rsidRPr="00AF20E2">
        <w:rPr>
          <w:rFonts w:ascii="Avenir Next" w:hAnsi="Avenir Next"/>
          <w:noProof/>
          <w:sz w:val="20"/>
          <w:szCs w:val="20"/>
          <w:lang w:val="es-ES"/>
        </w:rPr>
        <w:drawing>
          <wp:anchor distT="0" distB="0" distL="114300" distR="114300" simplePos="0" relativeHeight="251661312" behindDoc="1" locked="0" layoutInCell="1" allowOverlap="1" wp14:anchorId="44E0E93F" wp14:editId="0360E158">
            <wp:simplePos x="0" y="0"/>
            <wp:positionH relativeFrom="column">
              <wp:posOffset>5138057</wp:posOffset>
            </wp:positionH>
            <wp:positionV relativeFrom="paragraph">
              <wp:posOffset>57423</wp:posOffset>
            </wp:positionV>
            <wp:extent cx="335915" cy="268605"/>
            <wp:effectExtent l="0" t="0" r="0" b="0"/>
            <wp:wrapSquare wrapText="bothSides"/>
            <wp:docPr id="21"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AF20E2">
        <w:rPr>
          <w:rFonts w:ascii="Avenir Next" w:eastAsia="IBM Plex Sans" w:hAnsi="Avenir Next" w:cs="IBM Plex Sans"/>
          <w:color w:val="000000"/>
          <w:sz w:val="20"/>
          <w:szCs w:val="20"/>
          <w:lang w:val="es-ES"/>
        </w:rPr>
        <w:t xml:space="preserve"> </w:t>
      </w:r>
      <w:r w:rsidRPr="00AF20E2">
        <w:rPr>
          <w:rFonts w:ascii="Avenir Next" w:eastAsia="IBM Plex Sans" w:hAnsi="Avenir Next" w:cs="IBM Plex Sans"/>
          <w:b/>
          <w:bCs/>
          <w:color w:val="000000"/>
          <w:sz w:val="20"/>
          <w:szCs w:val="20"/>
          <w:lang w:val="es-ES"/>
        </w:rPr>
        <w:t>Si</w:t>
      </w:r>
      <w:r w:rsidRPr="00AF20E2">
        <w:rPr>
          <w:rFonts w:ascii="Avenir Next" w:eastAsia="IBM Plex Sans" w:hAnsi="Avenir Next" w:cs="IBM Plex Sans"/>
          <w:color w:val="000000"/>
          <w:sz w:val="20"/>
          <w:szCs w:val="20"/>
          <w:lang w:val="es-ES"/>
        </w:rPr>
        <w:t>: el plan o sistema de distribución de ingresos de REDD+ incorpora este aspecto de conformidad con las mejores prácticas.</w:t>
      </w:r>
    </w:p>
    <w:p w14:paraId="744F5348" w14:textId="1D5B9C72" w:rsidR="00AF20E2" w:rsidRPr="00AF20E2" w:rsidRDefault="00AF20E2" w:rsidP="00AF20E2">
      <w:pPr>
        <w:pStyle w:val="ListParagraph"/>
        <w:numPr>
          <w:ilvl w:val="1"/>
          <w:numId w:val="14"/>
        </w:numPr>
        <w:spacing w:before="120" w:after="120" w:line="336" w:lineRule="auto"/>
        <w:rPr>
          <w:rFonts w:ascii="Avenir Next" w:eastAsia="IBM Plex Sans" w:hAnsi="Avenir Next" w:cs="IBM Plex Sans"/>
          <w:color w:val="000000"/>
          <w:sz w:val="20"/>
          <w:szCs w:val="20"/>
          <w:lang w:val="es-ES"/>
        </w:rPr>
      </w:pPr>
      <w:r w:rsidRPr="00AF20E2">
        <w:rPr>
          <w:rFonts w:ascii="Avenir Next" w:eastAsia="IBM Plex Sans" w:hAnsi="Avenir Next" w:cs="IBM Plex Sans"/>
          <w:color w:val="000000"/>
          <w:sz w:val="20"/>
          <w:szCs w:val="20"/>
          <w:lang w:val="es-ES"/>
        </w:rPr>
        <w:t xml:space="preserve"> </w:t>
      </w:r>
      <w:r w:rsidRPr="00AF20E2">
        <w:rPr>
          <w:rFonts w:ascii="Avenir Next" w:eastAsia="IBM Plex Sans" w:hAnsi="Avenir Next" w:cs="IBM Plex Sans"/>
          <w:b/>
          <w:bCs/>
          <w:color w:val="000000"/>
          <w:sz w:val="20"/>
          <w:szCs w:val="20"/>
          <w:lang w:val="es-ES"/>
        </w:rPr>
        <w:t>Parcialmente</w:t>
      </w:r>
      <w:r w:rsidRPr="00AF20E2">
        <w:rPr>
          <w:rFonts w:ascii="Avenir Next" w:eastAsia="IBM Plex Sans" w:hAnsi="Avenir Next" w:cs="IBM Plex Sans"/>
          <w:color w:val="000000"/>
          <w:sz w:val="20"/>
          <w:szCs w:val="20"/>
          <w:lang w:val="es-ES"/>
        </w:rPr>
        <w:t>: el plan o sistema de distribución de ingresos de REDD+ incorpora parcialmente este aspecto de conformidad con las mejores prácticas. Hay algunas lagunas que es necesario abordar.</w:t>
      </w:r>
    </w:p>
    <w:p w14:paraId="478CC7B9" w14:textId="31FECB78" w:rsidR="00AF20E2" w:rsidRPr="00AF20E2" w:rsidRDefault="00AF20E2" w:rsidP="00AF20E2">
      <w:pPr>
        <w:pStyle w:val="ListParagraph"/>
        <w:numPr>
          <w:ilvl w:val="1"/>
          <w:numId w:val="14"/>
        </w:numPr>
        <w:spacing w:before="120" w:after="120" w:line="336" w:lineRule="auto"/>
        <w:rPr>
          <w:rFonts w:ascii="Avenir Next" w:eastAsia="IBM Plex Sans" w:hAnsi="Avenir Next" w:cs="IBM Plex Sans"/>
          <w:b/>
          <w:bCs/>
          <w:color w:val="000000"/>
          <w:sz w:val="20"/>
          <w:szCs w:val="20"/>
          <w:lang w:val="es-ES"/>
        </w:rPr>
      </w:pPr>
      <w:r w:rsidRPr="00AF20E2">
        <w:rPr>
          <w:rFonts w:ascii="Avenir Next" w:hAnsi="Avenir Next"/>
          <w:noProof/>
          <w:sz w:val="20"/>
          <w:szCs w:val="20"/>
          <w:lang w:val="es-ES"/>
        </w:rPr>
        <w:drawing>
          <wp:anchor distT="0" distB="0" distL="114300" distR="114300" simplePos="0" relativeHeight="251662336" behindDoc="0" locked="0" layoutInCell="1" allowOverlap="1" wp14:anchorId="36B19D13" wp14:editId="6ABBBF9A">
            <wp:simplePos x="0" y="0"/>
            <wp:positionH relativeFrom="column">
              <wp:posOffset>4956720</wp:posOffset>
            </wp:positionH>
            <wp:positionV relativeFrom="paragraph">
              <wp:posOffset>122555</wp:posOffset>
            </wp:positionV>
            <wp:extent cx="322580" cy="281940"/>
            <wp:effectExtent l="0" t="0" r="0" b="0"/>
            <wp:wrapSquare wrapText="bothSides"/>
            <wp:docPr id="22"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AF20E2">
        <w:rPr>
          <w:rFonts w:ascii="Avenir Next" w:eastAsia="IBM Plex Sans" w:hAnsi="Avenir Next" w:cs="IBM Plex Sans"/>
          <w:b/>
          <w:bCs/>
          <w:color w:val="000000"/>
          <w:sz w:val="20"/>
          <w:szCs w:val="20"/>
          <w:lang w:val="es-ES"/>
        </w:rPr>
        <w:t>No</w:t>
      </w:r>
      <w:r w:rsidRPr="00AF20E2">
        <w:rPr>
          <w:rFonts w:ascii="Avenir Next" w:eastAsia="IBM Plex Sans" w:hAnsi="Avenir Next" w:cs="IBM Plex Sans"/>
          <w:color w:val="000000"/>
          <w:sz w:val="20"/>
          <w:szCs w:val="20"/>
          <w:lang w:val="es-ES"/>
        </w:rPr>
        <w:t>: el plan o sistema de distribución de ingresos de REDD+ no incorpora este aspecto de conformidad con las mejores prácticas; existen brechas notables que deben abordarse para garantizar el cumplimiento total.</w:t>
      </w:r>
    </w:p>
    <w:p w14:paraId="7ED6ECA7" w14:textId="122684A7" w:rsidR="00AF20E2" w:rsidRPr="00AF20E2" w:rsidRDefault="00AF20E2" w:rsidP="00AF20E2">
      <w:pPr>
        <w:pStyle w:val="ListParagraph"/>
        <w:numPr>
          <w:ilvl w:val="0"/>
          <w:numId w:val="14"/>
        </w:numPr>
        <w:spacing w:before="120" w:after="120" w:line="336" w:lineRule="auto"/>
        <w:rPr>
          <w:rFonts w:ascii="Avenir Next" w:eastAsia="IBM Plex Sans" w:hAnsi="Avenir Next" w:cs="IBM Plex Sans"/>
          <w:color w:val="000000"/>
          <w:sz w:val="20"/>
          <w:szCs w:val="20"/>
          <w:lang w:val="es-ES"/>
        </w:rPr>
      </w:pPr>
      <w:r w:rsidRPr="00AF20E2">
        <w:rPr>
          <w:rFonts w:ascii="Avenir Next" w:eastAsia="IBM Plex Sans" w:hAnsi="Avenir Next" w:cs="IBM Plex Sans"/>
          <w:color w:val="000000"/>
          <w:sz w:val="20"/>
          <w:szCs w:val="20"/>
          <w:u w:val="single"/>
          <w:lang w:val="es-ES"/>
        </w:rPr>
        <w:t>Hallazgos:</w:t>
      </w:r>
      <w:r w:rsidRPr="00AF20E2">
        <w:rPr>
          <w:rFonts w:ascii="Avenir Next" w:eastAsia="IBM Plex Sans" w:hAnsi="Avenir Next" w:cs="IBM Plex Sans"/>
          <w:color w:val="000000"/>
          <w:sz w:val="20"/>
          <w:szCs w:val="20"/>
          <w:lang w:val="es-ES"/>
        </w:rPr>
        <w:t xml:space="preserve"> para que los usuarios ofrezcan información relevante y/o aclaraciones </w:t>
      </w:r>
      <w:r w:rsidR="009A5B18" w:rsidRPr="00AF20E2">
        <w:rPr>
          <w:rFonts w:ascii="Avenir Next" w:eastAsia="IBM Plex Sans" w:hAnsi="Avenir Next" w:cs="IBM Plex Sans"/>
          <w:color w:val="000000"/>
          <w:sz w:val="20"/>
          <w:szCs w:val="20"/>
          <w:lang w:val="es-ES"/>
        </w:rPr>
        <w:t>con relación a</w:t>
      </w:r>
      <w:r w:rsidRPr="00AF20E2">
        <w:rPr>
          <w:rFonts w:ascii="Avenir Next" w:eastAsia="IBM Plex Sans" w:hAnsi="Avenir Next" w:cs="IBM Plex Sans"/>
          <w:color w:val="000000"/>
          <w:sz w:val="20"/>
          <w:szCs w:val="20"/>
          <w:lang w:val="es-ES"/>
        </w:rPr>
        <w:t xml:space="preserve"> su puntuación.</w:t>
      </w:r>
    </w:p>
    <w:p w14:paraId="1641CAD1" w14:textId="77777777" w:rsidR="00AF20E2" w:rsidRPr="00AF20E2" w:rsidRDefault="00AF20E2" w:rsidP="00AF20E2">
      <w:pPr>
        <w:pStyle w:val="ListParagraph"/>
        <w:numPr>
          <w:ilvl w:val="0"/>
          <w:numId w:val="14"/>
        </w:numPr>
        <w:spacing w:before="120" w:after="120" w:line="336" w:lineRule="auto"/>
        <w:rPr>
          <w:rFonts w:ascii="Avenir Next" w:eastAsia="IBM Plex Sans" w:hAnsi="Avenir Next" w:cs="IBM Plex Sans"/>
          <w:color w:val="000000"/>
          <w:sz w:val="20"/>
          <w:szCs w:val="20"/>
          <w:lang w:val="es-ES"/>
        </w:rPr>
      </w:pPr>
      <w:r w:rsidRPr="00AF20E2">
        <w:rPr>
          <w:rFonts w:ascii="Avenir Next" w:eastAsia="IBM Plex Sans" w:hAnsi="Avenir Next" w:cs="IBM Plex Sans"/>
          <w:color w:val="000000"/>
          <w:sz w:val="20"/>
          <w:szCs w:val="20"/>
          <w:u w:val="single"/>
          <w:lang w:val="es-ES"/>
        </w:rPr>
        <w:t>Medios de verificación:</w:t>
      </w:r>
      <w:r w:rsidRPr="00AF20E2">
        <w:rPr>
          <w:rFonts w:ascii="Avenir Next" w:eastAsia="IBM Plex Sans" w:hAnsi="Avenir Next" w:cs="IBM Plex Sans"/>
          <w:color w:val="000000"/>
          <w:sz w:val="20"/>
          <w:szCs w:val="20"/>
          <w:lang w:val="es-ES"/>
        </w:rPr>
        <w:t xml:space="preserve"> los usuarios deberán proporcionar cualquier documentación utilizada para respaldar su puntuación, incluidos hipervínculos con información adicional.</w:t>
      </w:r>
    </w:p>
    <w:p w14:paraId="05F41298" w14:textId="77777777" w:rsidR="00AF20E2" w:rsidRPr="00AF20E2" w:rsidRDefault="00AF20E2">
      <w:pPr>
        <w:spacing w:before="120" w:after="120" w:line="336" w:lineRule="auto"/>
        <w:rPr>
          <w:rFonts w:ascii="IBM Plex Sans" w:eastAsia="IBM Plex Sans" w:hAnsi="IBM Plex Sans" w:cs="IBM Plex Sans"/>
          <w:color w:val="000000"/>
          <w:lang w:val="es-ES"/>
        </w:rPr>
      </w:pPr>
    </w:p>
    <w:p w14:paraId="05584642" w14:textId="77777777" w:rsidR="00AF20E2" w:rsidRPr="00AF20E2" w:rsidRDefault="00AF20E2">
      <w:pPr>
        <w:spacing w:before="120" w:after="120" w:line="336" w:lineRule="auto"/>
        <w:rPr>
          <w:rFonts w:ascii="IBM Plex Sans" w:eastAsia="IBM Plex Sans" w:hAnsi="IBM Plex Sans" w:cs="IBM Plex Sans"/>
          <w:color w:val="000000"/>
          <w:lang w:val="es-ES"/>
        </w:rPr>
      </w:pPr>
    </w:p>
    <w:p w14:paraId="620823D9" w14:textId="77777777" w:rsidR="00AF20E2" w:rsidRPr="00AF20E2" w:rsidRDefault="00AF20E2">
      <w:pPr>
        <w:spacing w:before="120" w:after="120" w:line="336" w:lineRule="auto"/>
        <w:rPr>
          <w:rFonts w:ascii="IBM Plex Sans" w:eastAsia="IBM Plex Sans" w:hAnsi="IBM Plex Sans" w:cs="IBM Plex Sans"/>
          <w:color w:val="000000"/>
          <w:lang w:val="es-ES"/>
        </w:rPr>
      </w:pPr>
    </w:p>
    <w:p w14:paraId="523CC633" w14:textId="77777777" w:rsidR="00AF20E2" w:rsidRPr="00AF20E2" w:rsidRDefault="00AF20E2">
      <w:pPr>
        <w:spacing w:before="120" w:after="120" w:line="336" w:lineRule="auto"/>
        <w:rPr>
          <w:rFonts w:ascii="IBM Plex Sans" w:eastAsia="IBM Plex Sans" w:hAnsi="IBM Plex Sans" w:cs="IBM Plex Sans"/>
          <w:color w:val="000000"/>
          <w:lang w:val="es-ES"/>
        </w:rPr>
      </w:pPr>
    </w:p>
    <w:p w14:paraId="4C7008DB" w14:textId="77777777" w:rsidR="00AF20E2" w:rsidRPr="00AF20E2" w:rsidRDefault="00AF20E2">
      <w:pPr>
        <w:spacing w:before="120" w:after="120" w:line="336" w:lineRule="auto"/>
        <w:rPr>
          <w:rFonts w:ascii="IBM Plex Sans" w:eastAsia="IBM Plex Sans" w:hAnsi="IBM Plex Sans" w:cs="IBM Plex Sans"/>
          <w:color w:val="000000"/>
          <w:lang w:val="es-ES"/>
        </w:rPr>
      </w:pPr>
    </w:p>
    <w:p w14:paraId="72C5AF4E" w14:textId="77777777" w:rsidR="00AF20E2" w:rsidRPr="00AF20E2" w:rsidRDefault="00AF20E2">
      <w:pPr>
        <w:spacing w:before="120" w:after="120" w:line="336" w:lineRule="auto"/>
        <w:rPr>
          <w:rFonts w:ascii="IBM Plex Sans" w:eastAsia="IBM Plex Sans" w:hAnsi="IBM Plex Sans" w:cs="IBM Plex Sans"/>
          <w:color w:val="000000"/>
          <w:lang w:val="es-ES"/>
        </w:rPr>
      </w:pPr>
    </w:p>
    <w:p w14:paraId="396CF2D7" w14:textId="77777777" w:rsidR="00AF20E2" w:rsidRPr="00AF20E2" w:rsidRDefault="00AF20E2">
      <w:pPr>
        <w:spacing w:before="120" w:after="120" w:line="336" w:lineRule="auto"/>
        <w:rPr>
          <w:rFonts w:ascii="IBM Plex Sans" w:eastAsia="IBM Plex Sans" w:hAnsi="IBM Plex Sans" w:cs="IBM Plex Sans"/>
          <w:color w:val="000000"/>
          <w:lang w:val="es-ES"/>
        </w:rPr>
      </w:pPr>
    </w:p>
    <w:p w14:paraId="15321BEB" w14:textId="77777777" w:rsidR="00AF20E2" w:rsidRDefault="00000000">
      <w:pPr>
        <w:spacing w:before="120" w:after="120" w:line="336" w:lineRule="auto"/>
        <w:rPr>
          <w:rFonts w:ascii="IBM Plex Sans" w:eastAsia="IBM Plex Sans" w:hAnsi="IBM Plex Sans" w:cs="IBM Plex Sans"/>
          <w:color w:val="000000"/>
          <w:lang w:val="es-ES"/>
        </w:rPr>
        <w:sectPr w:rsidR="00AF20E2" w:rsidSect="00BB07B2">
          <w:pgSz w:w="11910" w:h="16845"/>
          <w:pgMar w:top="1440" w:right="1440" w:bottom="1440" w:left="1440" w:header="720" w:footer="720" w:gutter="0"/>
          <w:cols w:space="720"/>
        </w:sectPr>
      </w:pPr>
      <w:r w:rsidRPr="00AF20E2">
        <w:rPr>
          <w:rFonts w:ascii="IBM Plex Sans" w:eastAsia="IBM Plex Sans" w:hAnsi="IBM Plex Sans" w:cs="IBM Plex Sans"/>
          <w:color w:val="000000"/>
          <w:lang w:val="es-ES"/>
        </w:rPr>
        <w:t xml:space="preserve">   </w:t>
      </w:r>
    </w:p>
    <w:p w14:paraId="575820A5" w14:textId="4990770C" w:rsidR="00F64485" w:rsidRPr="00AF20E2" w:rsidRDefault="00AF20E2">
      <w:pPr>
        <w:spacing w:before="120" w:after="120" w:line="336" w:lineRule="auto"/>
        <w:rPr>
          <w:rFonts w:ascii="Bodoni 72 Book" w:hAnsi="Bodoni 72 Book"/>
          <w:lang w:val="es-ES"/>
        </w:rPr>
      </w:pPr>
      <w:r w:rsidRPr="00AF20E2">
        <w:rPr>
          <w:rFonts w:ascii="Bodoni 72 Book" w:eastAsia="Montserrat" w:hAnsi="Bodoni 72 Book" w:cs="Montserrat"/>
          <w:color w:val="573B46"/>
          <w:sz w:val="64"/>
          <w:szCs w:val="64"/>
          <w:lang w:val="es-ES"/>
        </w:rPr>
        <w:lastRenderedPageBreak/>
        <w:t>Cuestionario</w:t>
      </w:r>
    </w:p>
    <w:p w14:paraId="6AE93547" w14:textId="77777777" w:rsidR="00F64485" w:rsidRPr="00AF20E2" w:rsidRDefault="00F64485">
      <w:pPr>
        <w:pBdr>
          <w:bottom w:val="single" w:sz="6" w:space="0" w:color="573B46"/>
        </w:pBdr>
        <w:spacing w:before="120" w:after="120" w:line="0" w:lineRule="auto"/>
        <w:rPr>
          <w:lang w:val="es-ES"/>
        </w:rPr>
      </w:pPr>
    </w:p>
    <w:tbl>
      <w:tblPr>
        <w:tblStyle w:val="TableGrid"/>
        <w:tblW w:w="14312" w:type="dxa"/>
        <w:tblBorders>
          <w:top w:val="single" w:sz="6" w:space="0" w:color="573B46"/>
          <w:left w:val="single" w:sz="6" w:space="0" w:color="573B46"/>
          <w:bottom w:val="single" w:sz="6" w:space="0" w:color="573B46"/>
          <w:right w:val="single" w:sz="6" w:space="0" w:color="573B46"/>
          <w:insideH w:val="single" w:sz="6" w:space="0" w:color="573B46"/>
          <w:insideV w:val="single" w:sz="6" w:space="0" w:color="573B46"/>
        </w:tblBorders>
        <w:tblLook w:val="04A0" w:firstRow="1" w:lastRow="0" w:firstColumn="1" w:lastColumn="0" w:noHBand="0" w:noVBand="1"/>
      </w:tblPr>
      <w:tblGrid>
        <w:gridCol w:w="4248"/>
        <w:gridCol w:w="2126"/>
        <w:gridCol w:w="4360"/>
        <w:gridCol w:w="3578"/>
      </w:tblGrid>
      <w:tr w:rsidR="00AF20E2" w:rsidRPr="00AF20E2" w14:paraId="145B28A6" w14:textId="77777777" w:rsidTr="00AF20E2">
        <w:trPr>
          <w:trHeight w:val="377"/>
        </w:trPr>
        <w:tc>
          <w:tcPr>
            <w:tcW w:w="14312" w:type="dxa"/>
            <w:gridSpan w:val="4"/>
            <w:shd w:val="clear" w:color="auto" w:fill="573B46"/>
            <w:vAlign w:val="center"/>
          </w:tcPr>
          <w:p w14:paraId="2F922326" w14:textId="77777777" w:rsidR="00AF20E2" w:rsidRPr="00AF20E2" w:rsidRDefault="00AF20E2" w:rsidP="00AF20E2">
            <w:pPr>
              <w:rPr>
                <w:rFonts w:ascii="Avenir Next Ultra Light" w:hAnsi="Avenir Next Ultra Light" w:cs="Calibri"/>
                <w:b/>
                <w:bCs/>
                <w:color w:val="FFFFFF" w:themeColor="background1"/>
                <w:lang w:val="es-ES"/>
              </w:rPr>
            </w:pPr>
            <w:r w:rsidRPr="00AF20E2">
              <w:rPr>
                <w:rFonts w:ascii="Avenir Next Ultra Light" w:hAnsi="Avenir Next Ultra Light" w:cs="Calibri"/>
                <w:b/>
                <w:bCs/>
                <w:color w:val="FFFFFF" w:themeColor="background1"/>
                <w:lang w:val="es-ES"/>
              </w:rPr>
              <w:t>Beneficiarios</w:t>
            </w:r>
          </w:p>
        </w:tc>
      </w:tr>
      <w:tr w:rsidR="00AF20E2" w:rsidRPr="00AF20E2" w14:paraId="157B24C4" w14:textId="77777777" w:rsidTr="00AF20E2">
        <w:tc>
          <w:tcPr>
            <w:tcW w:w="4248" w:type="dxa"/>
            <w:shd w:val="clear" w:color="auto" w:fill="BEA5A2"/>
            <w:vAlign w:val="center"/>
          </w:tcPr>
          <w:p w14:paraId="0833127E"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Preguntas</w:t>
            </w:r>
          </w:p>
        </w:tc>
        <w:tc>
          <w:tcPr>
            <w:tcW w:w="2126" w:type="dxa"/>
            <w:shd w:val="clear" w:color="auto" w:fill="BEA5A2"/>
            <w:vAlign w:val="center"/>
          </w:tcPr>
          <w:p w14:paraId="2A59295E"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Puntuación</w:t>
            </w:r>
          </w:p>
          <w:p w14:paraId="3994BA77" w14:textId="2545DB1C"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(Si/No/Parcialmente)</w:t>
            </w:r>
          </w:p>
        </w:tc>
        <w:tc>
          <w:tcPr>
            <w:tcW w:w="4360" w:type="dxa"/>
            <w:shd w:val="clear" w:color="auto" w:fill="BEA5A2"/>
            <w:vAlign w:val="center"/>
          </w:tcPr>
          <w:p w14:paraId="19C22D5E"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Comentarios</w:t>
            </w:r>
          </w:p>
        </w:tc>
        <w:tc>
          <w:tcPr>
            <w:tcW w:w="3578" w:type="dxa"/>
            <w:shd w:val="clear" w:color="auto" w:fill="BEA5A2"/>
            <w:vAlign w:val="center"/>
          </w:tcPr>
          <w:p w14:paraId="49532339"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Medios de verificación</w:t>
            </w:r>
          </w:p>
        </w:tc>
      </w:tr>
      <w:tr w:rsidR="00AF20E2" w:rsidRPr="00AF20E2" w14:paraId="4DEECBEA" w14:textId="77777777" w:rsidTr="00AF20E2">
        <w:tc>
          <w:tcPr>
            <w:tcW w:w="4248" w:type="dxa"/>
          </w:tcPr>
          <w:p w14:paraId="303E2BA0"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define quiénes son las categorías de beneficiarios?</w:t>
            </w:r>
          </w:p>
          <w:p w14:paraId="5C1C6A59" w14:textId="77777777" w:rsidR="00AF20E2" w:rsidRPr="00AF20E2" w:rsidRDefault="00AF20E2" w:rsidP="00CE0AF6">
            <w:pPr>
              <w:pStyle w:val="ListParagraph"/>
              <w:rPr>
                <w:rFonts w:ascii="Avenir Next" w:hAnsi="Avenir Next"/>
                <w:sz w:val="20"/>
                <w:szCs w:val="20"/>
                <w:lang w:val="es-ES"/>
              </w:rPr>
            </w:pPr>
          </w:p>
        </w:tc>
        <w:tc>
          <w:tcPr>
            <w:tcW w:w="2126" w:type="dxa"/>
          </w:tcPr>
          <w:p w14:paraId="4928AE46" w14:textId="77777777" w:rsidR="00AF20E2" w:rsidRPr="00AF20E2" w:rsidRDefault="00AF20E2" w:rsidP="00CE0AF6">
            <w:pPr>
              <w:rPr>
                <w:rFonts w:ascii="Avenir Next" w:hAnsi="Avenir Next"/>
                <w:sz w:val="20"/>
                <w:szCs w:val="20"/>
                <w:lang w:val="es-ES"/>
              </w:rPr>
            </w:pPr>
          </w:p>
        </w:tc>
        <w:tc>
          <w:tcPr>
            <w:tcW w:w="4360" w:type="dxa"/>
          </w:tcPr>
          <w:p w14:paraId="38B29A62" w14:textId="77777777" w:rsidR="00AF20E2" w:rsidRPr="00AF20E2" w:rsidRDefault="00AF20E2" w:rsidP="00CE0AF6">
            <w:pPr>
              <w:rPr>
                <w:rFonts w:ascii="Avenir Next" w:hAnsi="Avenir Next"/>
                <w:sz w:val="20"/>
                <w:szCs w:val="20"/>
                <w:lang w:val="es-ES"/>
              </w:rPr>
            </w:pPr>
          </w:p>
        </w:tc>
        <w:tc>
          <w:tcPr>
            <w:tcW w:w="3578" w:type="dxa"/>
          </w:tcPr>
          <w:p w14:paraId="36D96B1B" w14:textId="77777777" w:rsidR="00AF20E2" w:rsidRPr="00AF20E2" w:rsidRDefault="00AF20E2" w:rsidP="00CE0AF6">
            <w:pPr>
              <w:rPr>
                <w:rFonts w:ascii="Avenir Next" w:hAnsi="Avenir Next"/>
                <w:sz w:val="20"/>
                <w:szCs w:val="20"/>
                <w:lang w:val="es-ES"/>
              </w:rPr>
            </w:pPr>
          </w:p>
        </w:tc>
      </w:tr>
      <w:tr w:rsidR="00AF20E2" w:rsidRPr="00AF20E2" w14:paraId="5D060271" w14:textId="77777777" w:rsidTr="00AF20E2">
        <w:tc>
          <w:tcPr>
            <w:tcW w:w="4248" w:type="dxa"/>
          </w:tcPr>
          <w:p w14:paraId="5D11B96E" w14:textId="03F39459"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define los criterios/condiciones de elegibilidad que deben cumplirse o demostrarse para acceder a los incentivos (por ejemplo, desde demostrar la tenencia de la tierra hasta demostrar el derecho de uso de la tierra)?</w:t>
            </w:r>
          </w:p>
          <w:p w14:paraId="0C03A09C" w14:textId="77777777" w:rsidR="00AF20E2" w:rsidRPr="00AF20E2" w:rsidRDefault="00AF20E2" w:rsidP="00CE0AF6">
            <w:pPr>
              <w:pStyle w:val="ListParagraph"/>
              <w:rPr>
                <w:rFonts w:ascii="Avenir Next" w:hAnsi="Avenir Next"/>
                <w:sz w:val="20"/>
                <w:szCs w:val="20"/>
                <w:lang w:val="es-ES"/>
              </w:rPr>
            </w:pPr>
          </w:p>
        </w:tc>
        <w:tc>
          <w:tcPr>
            <w:tcW w:w="2126" w:type="dxa"/>
          </w:tcPr>
          <w:p w14:paraId="02352684" w14:textId="77777777" w:rsidR="00AF20E2" w:rsidRPr="00AF20E2" w:rsidRDefault="00AF20E2" w:rsidP="00CE0AF6">
            <w:pPr>
              <w:rPr>
                <w:rFonts w:ascii="Avenir Next" w:hAnsi="Avenir Next"/>
                <w:sz w:val="20"/>
                <w:szCs w:val="20"/>
                <w:lang w:val="es-ES"/>
              </w:rPr>
            </w:pPr>
          </w:p>
        </w:tc>
        <w:tc>
          <w:tcPr>
            <w:tcW w:w="4360" w:type="dxa"/>
          </w:tcPr>
          <w:p w14:paraId="4C133F03" w14:textId="77777777" w:rsidR="00AF20E2" w:rsidRPr="00AF20E2" w:rsidRDefault="00AF20E2" w:rsidP="00CE0AF6">
            <w:pPr>
              <w:rPr>
                <w:rFonts w:ascii="Avenir Next" w:hAnsi="Avenir Next"/>
                <w:sz w:val="20"/>
                <w:szCs w:val="20"/>
                <w:lang w:val="es-ES"/>
              </w:rPr>
            </w:pPr>
          </w:p>
        </w:tc>
        <w:tc>
          <w:tcPr>
            <w:tcW w:w="3578" w:type="dxa"/>
          </w:tcPr>
          <w:p w14:paraId="1965449D" w14:textId="77777777" w:rsidR="00AF20E2" w:rsidRPr="00AF20E2" w:rsidRDefault="00AF20E2" w:rsidP="00CE0AF6">
            <w:pPr>
              <w:rPr>
                <w:rFonts w:ascii="Avenir Next" w:hAnsi="Avenir Next"/>
                <w:sz w:val="20"/>
                <w:szCs w:val="20"/>
                <w:lang w:val="es-ES"/>
              </w:rPr>
            </w:pPr>
          </w:p>
        </w:tc>
      </w:tr>
      <w:tr w:rsidR="00AF20E2" w:rsidRPr="00AF20E2" w14:paraId="44D34BFF" w14:textId="77777777" w:rsidTr="00AF20E2">
        <w:tc>
          <w:tcPr>
            <w:tcW w:w="4248" w:type="dxa"/>
          </w:tcPr>
          <w:p w14:paraId="4A9886DC"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identifica posibles medidas para abordar las barreras a la participación?</w:t>
            </w:r>
            <w:r w:rsidRPr="00AF20E2">
              <w:rPr>
                <w:rStyle w:val="FootnoteReference"/>
                <w:rFonts w:ascii="Avenir Next" w:hAnsi="Avenir Next"/>
                <w:sz w:val="20"/>
                <w:szCs w:val="20"/>
                <w:lang w:val="es-ES"/>
              </w:rPr>
              <w:footnoteReference w:id="6"/>
            </w:r>
          </w:p>
          <w:p w14:paraId="587A8FA5" w14:textId="77777777" w:rsidR="00AF20E2" w:rsidRPr="00AF20E2" w:rsidRDefault="00AF20E2" w:rsidP="00CE0AF6">
            <w:pPr>
              <w:rPr>
                <w:rFonts w:ascii="Avenir Next" w:hAnsi="Avenir Next"/>
                <w:sz w:val="20"/>
                <w:szCs w:val="20"/>
                <w:lang w:val="es-ES"/>
              </w:rPr>
            </w:pPr>
          </w:p>
        </w:tc>
        <w:tc>
          <w:tcPr>
            <w:tcW w:w="2126" w:type="dxa"/>
          </w:tcPr>
          <w:p w14:paraId="70E59218" w14:textId="77777777" w:rsidR="00AF20E2" w:rsidRPr="00AF20E2" w:rsidRDefault="00AF20E2" w:rsidP="00CE0AF6">
            <w:pPr>
              <w:rPr>
                <w:rFonts w:ascii="Avenir Next" w:hAnsi="Avenir Next"/>
                <w:sz w:val="20"/>
                <w:szCs w:val="20"/>
                <w:lang w:val="es-ES"/>
              </w:rPr>
            </w:pPr>
          </w:p>
        </w:tc>
        <w:tc>
          <w:tcPr>
            <w:tcW w:w="4360" w:type="dxa"/>
          </w:tcPr>
          <w:p w14:paraId="322284CD" w14:textId="77777777" w:rsidR="00AF20E2" w:rsidRPr="00AF20E2" w:rsidRDefault="00AF20E2" w:rsidP="00CE0AF6">
            <w:pPr>
              <w:rPr>
                <w:rFonts w:ascii="Avenir Next" w:hAnsi="Avenir Next"/>
                <w:sz w:val="20"/>
                <w:szCs w:val="20"/>
                <w:lang w:val="es-ES"/>
              </w:rPr>
            </w:pPr>
          </w:p>
        </w:tc>
        <w:tc>
          <w:tcPr>
            <w:tcW w:w="3578" w:type="dxa"/>
          </w:tcPr>
          <w:p w14:paraId="714D7D78" w14:textId="77777777" w:rsidR="00AF20E2" w:rsidRPr="00AF20E2" w:rsidRDefault="00AF20E2" w:rsidP="00CE0AF6">
            <w:pPr>
              <w:rPr>
                <w:rFonts w:ascii="Avenir Next" w:hAnsi="Avenir Next"/>
                <w:sz w:val="20"/>
                <w:szCs w:val="20"/>
                <w:lang w:val="es-ES"/>
              </w:rPr>
            </w:pPr>
          </w:p>
        </w:tc>
      </w:tr>
      <w:tr w:rsidR="00AF20E2" w:rsidRPr="00AF20E2" w14:paraId="0C62633D" w14:textId="77777777" w:rsidTr="00AF20E2">
        <w:tc>
          <w:tcPr>
            <w:tcW w:w="14312" w:type="dxa"/>
            <w:gridSpan w:val="4"/>
            <w:shd w:val="clear" w:color="auto" w:fill="573B46"/>
            <w:vAlign w:val="center"/>
          </w:tcPr>
          <w:p w14:paraId="79174296" w14:textId="77777777" w:rsidR="00AF20E2" w:rsidRPr="00AF20E2" w:rsidRDefault="00AF20E2" w:rsidP="00AF20E2">
            <w:pPr>
              <w:rPr>
                <w:rFonts w:ascii="Avenir Next Ultra Light" w:hAnsi="Avenir Next Ultra Light" w:cs="Calibri"/>
                <w:b/>
                <w:bCs/>
                <w:color w:val="FFFFFF" w:themeColor="background1"/>
                <w:lang w:val="es-ES"/>
              </w:rPr>
            </w:pPr>
            <w:r w:rsidRPr="00AF20E2">
              <w:rPr>
                <w:rFonts w:ascii="Avenir Next Ultra Light" w:hAnsi="Avenir Next Ultra Light" w:cs="Calibri"/>
                <w:b/>
                <w:bCs/>
                <w:color w:val="FFFFFF" w:themeColor="background1"/>
                <w:lang w:val="es-ES"/>
              </w:rPr>
              <w:t>Incentivos</w:t>
            </w:r>
          </w:p>
        </w:tc>
      </w:tr>
      <w:tr w:rsidR="00AF20E2" w:rsidRPr="00AF20E2" w14:paraId="411E9388" w14:textId="77777777" w:rsidTr="00AF20E2">
        <w:tc>
          <w:tcPr>
            <w:tcW w:w="4248" w:type="dxa"/>
            <w:shd w:val="clear" w:color="auto" w:fill="BEA5A2"/>
            <w:vAlign w:val="center"/>
          </w:tcPr>
          <w:p w14:paraId="3585E078"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Preguntas</w:t>
            </w:r>
          </w:p>
        </w:tc>
        <w:tc>
          <w:tcPr>
            <w:tcW w:w="2126" w:type="dxa"/>
            <w:shd w:val="clear" w:color="auto" w:fill="BEA5A2"/>
            <w:vAlign w:val="center"/>
          </w:tcPr>
          <w:p w14:paraId="6C01361B"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Puntuación</w:t>
            </w:r>
          </w:p>
          <w:p w14:paraId="058593D6" w14:textId="328EBF46"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(Si/No/Parcialmente)</w:t>
            </w:r>
          </w:p>
        </w:tc>
        <w:tc>
          <w:tcPr>
            <w:tcW w:w="4360" w:type="dxa"/>
            <w:shd w:val="clear" w:color="auto" w:fill="BEA5A2"/>
            <w:vAlign w:val="center"/>
          </w:tcPr>
          <w:p w14:paraId="70852D1D"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Comentarios</w:t>
            </w:r>
          </w:p>
        </w:tc>
        <w:tc>
          <w:tcPr>
            <w:tcW w:w="3578" w:type="dxa"/>
            <w:shd w:val="clear" w:color="auto" w:fill="BEA5A2"/>
            <w:vAlign w:val="center"/>
          </w:tcPr>
          <w:p w14:paraId="4020B077"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Medios de verificación</w:t>
            </w:r>
          </w:p>
        </w:tc>
      </w:tr>
      <w:tr w:rsidR="00AF20E2" w:rsidRPr="00AF20E2" w14:paraId="56622B9D" w14:textId="77777777" w:rsidTr="00AF20E2">
        <w:tc>
          <w:tcPr>
            <w:tcW w:w="4248" w:type="dxa"/>
          </w:tcPr>
          <w:p w14:paraId="4D0E9B20" w14:textId="294CA8F6"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lastRenderedPageBreak/>
              <w:t>¿El plan o sistema de distribución de ingresos define cuáles son los incentivos ofrecidos (monetario o no monetarios)?</w:t>
            </w:r>
            <w:r w:rsidRPr="00AF20E2">
              <w:rPr>
                <w:rStyle w:val="FootnoteReference"/>
                <w:rFonts w:ascii="Avenir Next" w:hAnsi="Avenir Next"/>
                <w:sz w:val="20"/>
                <w:szCs w:val="20"/>
                <w:lang w:val="es-ES"/>
              </w:rPr>
              <w:footnoteReference w:id="7"/>
            </w:r>
          </w:p>
          <w:p w14:paraId="446208D8" w14:textId="77777777" w:rsidR="00AF20E2" w:rsidRPr="00AF20E2" w:rsidRDefault="00AF20E2" w:rsidP="00CE0AF6">
            <w:pPr>
              <w:rPr>
                <w:rFonts w:ascii="Avenir Next" w:hAnsi="Avenir Next"/>
                <w:sz w:val="20"/>
                <w:szCs w:val="20"/>
                <w:lang w:val="es-ES"/>
              </w:rPr>
            </w:pPr>
          </w:p>
          <w:p w14:paraId="7FFA27B9" w14:textId="77777777" w:rsidR="00AF20E2" w:rsidRPr="00AF20E2" w:rsidRDefault="00AF20E2" w:rsidP="00CE0AF6">
            <w:pPr>
              <w:rPr>
                <w:rFonts w:ascii="Avenir Next" w:hAnsi="Avenir Next"/>
                <w:sz w:val="20"/>
                <w:szCs w:val="20"/>
                <w:lang w:val="es-ES"/>
              </w:rPr>
            </w:pPr>
          </w:p>
        </w:tc>
        <w:tc>
          <w:tcPr>
            <w:tcW w:w="2126" w:type="dxa"/>
          </w:tcPr>
          <w:p w14:paraId="3AD2DB92" w14:textId="77777777" w:rsidR="00AF20E2" w:rsidRPr="00AF20E2" w:rsidRDefault="00AF20E2" w:rsidP="00CE0AF6">
            <w:pPr>
              <w:rPr>
                <w:rFonts w:ascii="Avenir Next" w:hAnsi="Avenir Next"/>
                <w:sz w:val="20"/>
                <w:szCs w:val="20"/>
                <w:lang w:val="es-ES"/>
              </w:rPr>
            </w:pPr>
          </w:p>
        </w:tc>
        <w:tc>
          <w:tcPr>
            <w:tcW w:w="4360" w:type="dxa"/>
          </w:tcPr>
          <w:p w14:paraId="463E3127" w14:textId="77777777" w:rsidR="00AF20E2" w:rsidRPr="00AF20E2" w:rsidRDefault="00AF20E2" w:rsidP="00CE0AF6">
            <w:pPr>
              <w:rPr>
                <w:rFonts w:ascii="Avenir Next" w:hAnsi="Avenir Next"/>
                <w:sz w:val="20"/>
                <w:szCs w:val="20"/>
                <w:lang w:val="es-ES"/>
              </w:rPr>
            </w:pPr>
          </w:p>
        </w:tc>
        <w:tc>
          <w:tcPr>
            <w:tcW w:w="3578" w:type="dxa"/>
          </w:tcPr>
          <w:p w14:paraId="5AF07916" w14:textId="77777777" w:rsidR="00AF20E2" w:rsidRPr="00AF20E2" w:rsidRDefault="00AF20E2" w:rsidP="00CE0AF6">
            <w:pPr>
              <w:rPr>
                <w:rFonts w:ascii="Avenir Next" w:hAnsi="Avenir Next"/>
                <w:sz w:val="20"/>
                <w:szCs w:val="20"/>
                <w:lang w:val="es-ES"/>
              </w:rPr>
            </w:pPr>
          </w:p>
        </w:tc>
      </w:tr>
      <w:tr w:rsidR="00AF20E2" w:rsidRPr="00AF20E2" w14:paraId="3005D9A5" w14:textId="77777777" w:rsidTr="00AF20E2">
        <w:tc>
          <w:tcPr>
            <w:tcW w:w="4248" w:type="dxa"/>
          </w:tcPr>
          <w:p w14:paraId="0F301216"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describe cómo se asignarían los fondos y su justificación?</w:t>
            </w:r>
            <w:r w:rsidRPr="00AF20E2">
              <w:rPr>
                <w:rStyle w:val="FootnoteReference"/>
                <w:rFonts w:ascii="Avenir Next" w:hAnsi="Avenir Next"/>
                <w:sz w:val="20"/>
                <w:szCs w:val="20"/>
                <w:lang w:val="es-ES"/>
              </w:rPr>
              <w:footnoteReference w:id="8"/>
            </w:r>
          </w:p>
          <w:p w14:paraId="4232869F" w14:textId="77777777" w:rsidR="00AF20E2" w:rsidRPr="00AF20E2" w:rsidRDefault="00AF20E2" w:rsidP="00CE0AF6">
            <w:pPr>
              <w:rPr>
                <w:rFonts w:ascii="Avenir Next" w:hAnsi="Avenir Next"/>
                <w:sz w:val="20"/>
                <w:szCs w:val="20"/>
                <w:lang w:val="es-ES"/>
              </w:rPr>
            </w:pPr>
          </w:p>
        </w:tc>
        <w:tc>
          <w:tcPr>
            <w:tcW w:w="2126" w:type="dxa"/>
          </w:tcPr>
          <w:p w14:paraId="2763572F" w14:textId="77777777" w:rsidR="00AF20E2" w:rsidRPr="00AF20E2" w:rsidRDefault="00AF20E2" w:rsidP="00CE0AF6">
            <w:pPr>
              <w:rPr>
                <w:rFonts w:ascii="Avenir Next" w:hAnsi="Avenir Next"/>
                <w:sz w:val="20"/>
                <w:szCs w:val="20"/>
                <w:lang w:val="es-ES"/>
              </w:rPr>
            </w:pPr>
          </w:p>
        </w:tc>
        <w:tc>
          <w:tcPr>
            <w:tcW w:w="4360" w:type="dxa"/>
          </w:tcPr>
          <w:p w14:paraId="29145C40" w14:textId="77777777" w:rsidR="00AF20E2" w:rsidRPr="00AF20E2" w:rsidRDefault="00AF20E2" w:rsidP="00CE0AF6">
            <w:pPr>
              <w:rPr>
                <w:rFonts w:ascii="Avenir Next" w:hAnsi="Avenir Next"/>
                <w:sz w:val="20"/>
                <w:szCs w:val="20"/>
                <w:lang w:val="es-ES"/>
              </w:rPr>
            </w:pPr>
          </w:p>
        </w:tc>
        <w:tc>
          <w:tcPr>
            <w:tcW w:w="3578" w:type="dxa"/>
          </w:tcPr>
          <w:p w14:paraId="0D23C33E" w14:textId="77777777" w:rsidR="00AF20E2" w:rsidRPr="00AF20E2" w:rsidRDefault="00AF20E2" w:rsidP="00CE0AF6">
            <w:pPr>
              <w:rPr>
                <w:rFonts w:ascii="Avenir Next" w:hAnsi="Avenir Next"/>
                <w:sz w:val="20"/>
                <w:szCs w:val="20"/>
                <w:lang w:val="es-ES"/>
              </w:rPr>
            </w:pPr>
          </w:p>
        </w:tc>
      </w:tr>
      <w:tr w:rsidR="00AF20E2" w:rsidRPr="00AF20E2" w14:paraId="030E18EB" w14:textId="77777777" w:rsidTr="00AF20E2">
        <w:tc>
          <w:tcPr>
            <w:tcW w:w="4248" w:type="dxa"/>
          </w:tcPr>
          <w:p w14:paraId="6B7B6AA7"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Si existen diferencias en los incentivos dirigidos a diferentes partes interesadas, ¿existe una explicación clara del motivo?</w:t>
            </w:r>
          </w:p>
          <w:p w14:paraId="78B76F18" w14:textId="77777777" w:rsidR="00AF20E2" w:rsidRPr="00AF20E2" w:rsidRDefault="00AF20E2" w:rsidP="00CE0AF6">
            <w:pPr>
              <w:pStyle w:val="ListParagraph"/>
              <w:rPr>
                <w:rFonts w:ascii="Avenir Next" w:hAnsi="Avenir Next"/>
                <w:sz w:val="20"/>
                <w:szCs w:val="20"/>
                <w:lang w:val="es-ES"/>
              </w:rPr>
            </w:pPr>
          </w:p>
        </w:tc>
        <w:tc>
          <w:tcPr>
            <w:tcW w:w="2126" w:type="dxa"/>
          </w:tcPr>
          <w:p w14:paraId="302DD13F" w14:textId="77777777" w:rsidR="00AF20E2" w:rsidRPr="00AF20E2" w:rsidRDefault="00AF20E2" w:rsidP="00CE0AF6">
            <w:pPr>
              <w:rPr>
                <w:rFonts w:ascii="Avenir Next" w:hAnsi="Avenir Next"/>
                <w:sz w:val="20"/>
                <w:szCs w:val="20"/>
                <w:lang w:val="es-ES"/>
              </w:rPr>
            </w:pPr>
          </w:p>
        </w:tc>
        <w:tc>
          <w:tcPr>
            <w:tcW w:w="4360" w:type="dxa"/>
          </w:tcPr>
          <w:p w14:paraId="68C13C85" w14:textId="77777777" w:rsidR="00AF20E2" w:rsidRPr="00AF20E2" w:rsidRDefault="00AF20E2" w:rsidP="00CE0AF6">
            <w:pPr>
              <w:rPr>
                <w:rFonts w:ascii="Avenir Next" w:hAnsi="Avenir Next"/>
                <w:sz w:val="20"/>
                <w:szCs w:val="20"/>
                <w:lang w:val="es-ES"/>
              </w:rPr>
            </w:pPr>
          </w:p>
        </w:tc>
        <w:tc>
          <w:tcPr>
            <w:tcW w:w="3578" w:type="dxa"/>
          </w:tcPr>
          <w:p w14:paraId="583BA3F7" w14:textId="77777777" w:rsidR="00AF20E2" w:rsidRPr="00AF20E2" w:rsidRDefault="00AF20E2" w:rsidP="00CE0AF6">
            <w:pPr>
              <w:rPr>
                <w:rFonts w:ascii="Avenir Next" w:hAnsi="Avenir Next"/>
                <w:sz w:val="20"/>
                <w:szCs w:val="20"/>
                <w:lang w:val="es-ES"/>
              </w:rPr>
            </w:pPr>
          </w:p>
        </w:tc>
      </w:tr>
      <w:tr w:rsidR="00AF20E2" w:rsidRPr="00AF20E2" w14:paraId="4FF47B2B" w14:textId="77777777" w:rsidTr="00AF20E2">
        <w:tc>
          <w:tcPr>
            <w:tcW w:w="14312" w:type="dxa"/>
            <w:gridSpan w:val="4"/>
            <w:shd w:val="clear" w:color="auto" w:fill="573B46"/>
          </w:tcPr>
          <w:p w14:paraId="4EDEAF36" w14:textId="77777777" w:rsidR="00AF20E2" w:rsidRPr="00AF20E2" w:rsidRDefault="00AF20E2" w:rsidP="00CE0AF6">
            <w:pPr>
              <w:rPr>
                <w:rFonts w:ascii="Avenir Next Ultra Light" w:hAnsi="Avenir Next Ultra Light" w:cs="Calibri"/>
                <w:b/>
                <w:bCs/>
                <w:color w:val="FFFFFF" w:themeColor="background1"/>
                <w:lang w:val="es-ES"/>
              </w:rPr>
            </w:pPr>
            <w:r w:rsidRPr="00AF20E2">
              <w:rPr>
                <w:rFonts w:ascii="Avenir Next Ultra Light" w:hAnsi="Avenir Next Ultra Light" w:cs="Calibri"/>
                <w:b/>
                <w:bCs/>
                <w:color w:val="FFFFFF" w:themeColor="background1"/>
                <w:lang w:val="es-ES"/>
              </w:rPr>
              <w:t>Mecanismos de distribución de beneficios y arquitectura institucional</w:t>
            </w:r>
          </w:p>
        </w:tc>
      </w:tr>
      <w:tr w:rsidR="00AF20E2" w:rsidRPr="00AF20E2" w14:paraId="67B130CB" w14:textId="77777777" w:rsidTr="00AF20E2">
        <w:tc>
          <w:tcPr>
            <w:tcW w:w="4248" w:type="dxa"/>
            <w:shd w:val="clear" w:color="auto" w:fill="BEA5A2"/>
            <w:vAlign w:val="center"/>
          </w:tcPr>
          <w:p w14:paraId="7125F536"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Preguntas</w:t>
            </w:r>
          </w:p>
        </w:tc>
        <w:tc>
          <w:tcPr>
            <w:tcW w:w="2126" w:type="dxa"/>
            <w:shd w:val="clear" w:color="auto" w:fill="BEA5A2"/>
            <w:vAlign w:val="center"/>
          </w:tcPr>
          <w:p w14:paraId="583D1B97"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Puntuación</w:t>
            </w:r>
          </w:p>
          <w:p w14:paraId="3B585D2D" w14:textId="7CFAB89C"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(Si/No/Parcialmente)</w:t>
            </w:r>
          </w:p>
        </w:tc>
        <w:tc>
          <w:tcPr>
            <w:tcW w:w="4360" w:type="dxa"/>
            <w:shd w:val="clear" w:color="auto" w:fill="BEA5A2"/>
            <w:vAlign w:val="center"/>
          </w:tcPr>
          <w:p w14:paraId="47FB61B6"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Comentarios</w:t>
            </w:r>
          </w:p>
        </w:tc>
        <w:tc>
          <w:tcPr>
            <w:tcW w:w="3578" w:type="dxa"/>
            <w:shd w:val="clear" w:color="auto" w:fill="BEA5A2"/>
            <w:vAlign w:val="center"/>
          </w:tcPr>
          <w:p w14:paraId="11E05F35"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Medios de verificación</w:t>
            </w:r>
          </w:p>
        </w:tc>
      </w:tr>
      <w:tr w:rsidR="00AF20E2" w:rsidRPr="00AF20E2" w14:paraId="7FA41615" w14:textId="77777777" w:rsidTr="00AF20E2">
        <w:tc>
          <w:tcPr>
            <w:tcW w:w="4248" w:type="dxa"/>
          </w:tcPr>
          <w:p w14:paraId="13A9D2F6"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define la arquitectura institucional para recibir, administrar y desembolsar fondos?</w:t>
            </w:r>
          </w:p>
          <w:p w14:paraId="750EDA77" w14:textId="77777777" w:rsidR="00AF20E2" w:rsidRPr="00AF20E2" w:rsidRDefault="00AF20E2" w:rsidP="00CE0AF6">
            <w:pPr>
              <w:pStyle w:val="ListParagraph"/>
              <w:rPr>
                <w:rFonts w:ascii="Avenir Next" w:hAnsi="Avenir Next"/>
                <w:sz w:val="20"/>
                <w:szCs w:val="20"/>
                <w:lang w:val="es-ES"/>
              </w:rPr>
            </w:pPr>
          </w:p>
        </w:tc>
        <w:tc>
          <w:tcPr>
            <w:tcW w:w="2126" w:type="dxa"/>
          </w:tcPr>
          <w:p w14:paraId="55E002C9" w14:textId="77777777" w:rsidR="00AF20E2" w:rsidRPr="00AF20E2" w:rsidRDefault="00AF20E2" w:rsidP="00CE0AF6">
            <w:pPr>
              <w:rPr>
                <w:rFonts w:ascii="Avenir Next" w:hAnsi="Avenir Next"/>
                <w:sz w:val="20"/>
                <w:szCs w:val="20"/>
                <w:lang w:val="es-ES"/>
              </w:rPr>
            </w:pPr>
          </w:p>
        </w:tc>
        <w:tc>
          <w:tcPr>
            <w:tcW w:w="4360" w:type="dxa"/>
          </w:tcPr>
          <w:p w14:paraId="0DD7C718" w14:textId="77777777" w:rsidR="00AF20E2" w:rsidRPr="00AF20E2" w:rsidRDefault="00AF20E2" w:rsidP="00CE0AF6">
            <w:pPr>
              <w:rPr>
                <w:rFonts w:ascii="Avenir Next" w:hAnsi="Avenir Next"/>
                <w:sz w:val="20"/>
                <w:szCs w:val="20"/>
                <w:lang w:val="es-ES"/>
              </w:rPr>
            </w:pPr>
          </w:p>
        </w:tc>
        <w:tc>
          <w:tcPr>
            <w:tcW w:w="3578" w:type="dxa"/>
          </w:tcPr>
          <w:p w14:paraId="29FD90AD" w14:textId="77777777" w:rsidR="00AF20E2" w:rsidRPr="00AF20E2" w:rsidRDefault="00AF20E2" w:rsidP="00CE0AF6">
            <w:pPr>
              <w:rPr>
                <w:rFonts w:ascii="Avenir Next" w:hAnsi="Avenir Next"/>
                <w:sz w:val="20"/>
                <w:szCs w:val="20"/>
                <w:lang w:val="es-ES"/>
              </w:rPr>
            </w:pPr>
          </w:p>
        </w:tc>
      </w:tr>
      <w:tr w:rsidR="00AF20E2" w:rsidRPr="00AF20E2" w14:paraId="26123E33" w14:textId="77777777" w:rsidTr="00AF20E2">
        <w:tc>
          <w:tcPr>
            <w:tcW w:w="4248" w:type="dxa"/>
          </w:tcPr>
          <w:p w14:paraId="54F030A5"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 xml:space="preserve">Si la arquitectura institucional necesaria aún no está establecida y funcionando, ¿se han establecido </w:t>
            </w:r>
            <w:r w:rsidRPr="00AF20E2">
              <w:rPr>
                <w:rFonts w:ascii="Avenir Next" w:hAnsi="Avenir Next"/>
                <w:sz w:val="20"/>
                <w:szCs w:val="20"/>
                <w:lang w:val="es-ES"/>
              </w:rPr>
              <w:lastRenderedPageBreak/>
              <w:t>medidas para abordar esto?</w:t>
            </w:r>
          </w:p>
          <w:p w14:paraId="1D86FDF0" w14:textId="77777777" w:rsidR="00AF20E2" w:rsidRPr="00AF20E2" w:rsidRDefault="00AF20E2" w:rsidP="00CE0AF6">
            <w:pPr>
              <w:pStyle w:val="ListParagraph"/>
              <w:rPr>
                <w:rFonts w:ascii="Avenir Next" w:hAnsi="Avenir Next"/>
                <w:sz w:val="20"/>
                <w:szCs w:val="20"/>
                <w:lang w:val="es-ES"/>
              </w:rPr>
            </w:pPr>
          </w:p>
        </w:tc>
        <w:tc>
          <w:tcPr>
            <w:tcW w:w="2126" w:type="dxa"/>
          </w:tcPr>
          <w:p w14:paraId="5EC8AB6A" w14:textId="77777777" w:rsidR="00AF20E2" w:rsidRPr="00AF20E2" w:rsidRDefault="00AF20E2" w:rsidP="00CE0AF6">
            <w:pPr>
              <w:rPr>
                <w:rFonts w:ascii="Avenir Next" w:hAnsi="Avenir Next"/>
                <w:sz w:val="20"/>
                <w:szCs w:val="20"/>
                <w:lang w:val="es-ES"/>
              </w:rPr>
            </w:pPr>
          </w:p>
        </w:tc>
        <w:tc>
          <w:tcPr>
            <w:tcW w:w="4360" w:type="dxa"/>
          </w:tcPr>
          <w:p w14:paraId="5364E96F" w14:textId="77777777" w:rsidR="00AF20E2" w:rsidRPr="00AF20E2" w:rsidRDefault="00AF20E2" w:rsidP="00CE0AF6">
            <w:pPr>
              <w:rPr>
                <w:rFonts w:ascii="Avenir Next" w:hAnsi="Avenir Next"/>
                <w:sz w:val="20"/>
                <w:szCs w:val="20"/>
                <w:lang w:val="es-ES"/>
              </w:rPr>
            </w:pPr>
          </w:p>
        </w:tc>
        <w:tc>
          <w:tcPr>
            <w:tcW w:w="3578" w:type="dxa"/>
          </w:tcPr>
          <w:p w14:paraId="615C1EB0" w14:textId="77777777" w:rsidR="00AF20E2" w:rsidRPr="00AF20E2" w:rsidRDefault="00AF20E2" w:rsidP="00CE0AF6">
            <w:pPr>
              <w:rPr>
                <w:rFonts w:ascii="Avenir Next" w:hAnsi="Avenir Next"/>
                <w:sz w:val="20"/>
                <w:szCs w:val="20"/>
                <w:lang w:val="es-ES"/>
              </w:rPr>
            </w:pPr>
          </w:p>
        </w:tc>
      </w:tr>
      <w:tr w:rsidR="00AF20E2" w:rsidRPr="00AF20E2" w14:paraId="66B87142" w14:textId="77777777" w:rsidTr="00AF20E2">
        <w:tc>
          <w:tcPr>
            <w:tcW w:w="4248" w:type="dxa"/>
          </w:tcPr>
          <w:p w14:paraId="24E8F276"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define las estructuras y procesos para la entrega de beneficios/ingresos?</w:t>
            </w:r>
          </w:p>
          <w:p w14:paraId="17AA5ABB" w14:textId="77777777" w:rsidR="00AF20E2" w:rsidRPr="00AF20E2" w:rsidRDefault="00AF20E2" w:rsidP="00CE0AF6">
            <w:pPr>
              <w:pStyle w:val="ListParagraph"/>
              <w:rPr>
                <w:rFonts w:ascii="Avenir Next" w:hAnsi="Avenir Next"/>
                <w:sz w:val="20"/>
                <w:szCs w:val="20"/>
                <w:lang w:val="es-ES"/>
              </w:rPr>
            </w:pPr>
          </w:p>
        </w:tc>
        <w:tc>
          <w:tcPr>
            <w:tcW w:w="2126" w:type="dxa"/>
          </w:tcPr>
          <w:p w14:paraId="7D6784CE" w14:textId="77777777" w:rsidR="00AF20E2" w:rsidRPr="00AF20E2" w:rsidRDefault="00AF20E2" w:rsidP="00CE0AF6">
            <w:pPr>
              <w:rPr>
                <w:rFonts w:ascii="Avenir Next" w:hAnsi="Avenir Next"/>
                <w:sz w:val="20"/>
                <w:szCs w:val="20"/>
                <w:lang w:val="es-ES"/>
              </w:rPr>
            </w:pPr>
          </w:p>
        </w:tc>
        <w:tc>
          <w:tcPr>
            <w:tcW w:w="4360" w:type="dxa"/>
          </w:tcPr>
          <w:p w14:paraId="075EE0FB" w14:textId="77777777" w:rsidR="00AF20E2" w:rsidRPr="00AF20E2" w:rsidRDefault="00AF20E2" w:rsidP="00CE0AF6">
            <w:pPr>
              <w:rPr>
                <w:rFonts w:ascii="Avenir Next" w:hAnsi="Avenir Next"/>
                <w:sz w:val="20"/>
                <w:szCs w:val="20"/>
                <w:lang w:val="es-ES"/>
              </w:rPr>
            </w:pPr>
          </w:p>
        </w:tc>
        <w:tc>
          <w:tcPr>
            <w:tcW w:w="3578" w:type="dxa"/>
          </w:tcPr>
          <w:p w14:paraId="5DE9A053" w14:textId="77777777" w:rsidR="00AF20E2" w:rsidRPr="00AF20E2" w:rsidRDefault="00AF20E2" w:rsidP="00CE0AF6">
            <w:pPr>
              <w:rPr>
                <w:rFonts w:ascii="Avenir Next" w:hAnsi="Avenir Next"/>
                <w:sz w:val="20"/>
                <w:szCs w:val="20"/>
                <w:lang w:val="es-ES"/>
              </w:rPr>
            </w:pPr>
          </w:p>
        </w:tc>
      </w:tr>
      <w:tr w:rsidR="00AF20E2" w:rsidRPr="00AF20E2" w14:paraId="140FDACC" w14:textId="77777777" w:rsidTr="00AF20E2">
        <w:tc>
          <w:tcPr>
            <w:tcW w:w="4248" w:type="dxa"/>
          </w:tcPr>
          <w:p w14:paraId="4CDDDA66"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define las estructuras y procesos de toma de decisiones para recibir, administrar y desembolsar fondos?</w:t>
            </w:r>
            <w:r w:rsidRPr="00AF20E2">
              <w:rPr>
                <w:rStyle w:val="FootnoteReference"/>
                <w:rFonts w:ascii="Avenir Next" w:hAnsi="Avenir Next"/>
                <w:sz w:val="20"/>
                <w:szCs w:val="20"/>
                <w:lang w:val="es-ES"/>
              </w:rPr>
              <w:footnoteReference w:id="9"/>
            </w:r>
          </w:p>
          <w:p w14:paraId="76106AB2" w14:textId="77777777" w:rsidR="00AF20E2" w:rsidRPr="00AF20E2" w:rsidRDefault="00AF20E2" w:rsidP="00CE0AF6">
            <w:pPr>
              <w:rPr>
                <w:rFonts w:ascii="Avenir Next" w:eastAsia="Calibri" w:hAnsi="Avenir Next" w:cs="Arial"/>
                <w:sz w:val="20"/>
                <w:szCs w:val="20"/>
                <w:lang w:val="es-ES"/>
              </w:rPr>
            </w:pPr>
          </w:p>
        </w:tc>
        <w:tc>
          <w:tcPr>
            <w:tcW w:w="2126" w:type="dxa"/>
          </w:tcPr>
          <w:p w14:paraId="6EDA213A" w14:textId="77777777" w:rsidR="00AF20E2" w:rsidRPr="00AF20E2" w:rsidRDefault="00AF20E2" w:rsidP="00CE0AF6">
            <w:pPr>
              <w:rPr>
                <w:rFonts w:ascii="Avenir Next" w:hAnsi="Avenir Next"/>
                <w:sz w:val="20"/>
                <w:szCs w:val="20"/>
                <w:lang w:val="es-ES"/>
              </w:rPr>
            </w:pPr>
          </w:p>
        </w:tc>
        <w:tc>
          <w:tcPr>
            <w:tcW w:w="4360" w:type="dxa"/>
          </w:tcPr>
          <w:p w14:paraId="4139A3EF" w14:textId="77777777" w:rsidR="00AF20E2" w:rsidRPr="00AF20E2" w:rsidRDefault="00AF20E2" w:rsidP="00CE0AF6">
            <w:pPr>
              <w:rPr>
                <w:rFonts w:ascii="Avenir Next" w:hAnsi="Avenir Next"/>
                <w:sz w:val="20"/>
                <w:szCs w:val="20"/>
                <w:lang w:val="es-ES"/>
              </w:rPr>
            </w:pPr>
          </w:p>
        </w:tc>
        <w:tc>
          <w:tcPr>
            <w:tcW w:w="3578" w:type="dxa"/>
          </w:tcPr>
          <w:p w14:paraId="5B52D706" w14:textId="77777777" w:rsidR="00AF20E2" w:rsidRPr="00AF20E2" w:rsidRDefault="00AF20E2" w:rsidP="00CE0AF6">
            <w:pPr>
              <w:rPr>
                <w:rFonts w:ascii="Avenir Next" w:hAnsi="Avenir Next"/>
                <w:sz w:val="20"/>
                <w:szCs w:val="20"/>
                <w:lang w:val="es-ES"/>
              </w:rPr>
            </w:pPr>
          </w:p>
        </w:tc>
      </w:tr>
      <w:tr w:rsidR="00AF20E2" w:rsidRPr="00AF20E2" w14:paraId="01E1F722" w14:textId="77777777" w:rsidTr="00AF20E2">
        <w:tc>
          <w:tcPr>
            <w:tcW w:w="14312" w:type="dxa"/>
            <w:gridSpan w:val="4"/>
            <w:shd w:val="clear" w:color="auto" w:fill="573B46"/>
            <w:vAlign w:val="center"/>
          </w:tcPr>
          <w:p w14:paraId="3F4980E0" w14:textId="77777777" w:rsidR="00AF20E2" w:rsidRPr="00AF20E2" w:rsidRDefault="00AF20E2" w:rsidP="00AF20E2">
            <w:pPr>
              <w:rPr>
                <w:rFonts w:ascii="Avenir Next Ultra Light" w:hAnsi="Avenir Next Ultra Light" w:cs="Calibri"/>
                <w:b/>
                <w:bCs/>
                <w:color w:val="FFFFFF" w:themeColor="background1"/>
                <w:lang w:val="es-ES"/>
              </w:rPr>
            </w:pPr>
            <w:r w:rsidRPr="00AF20E2">
              <w:rPr>
                <w:rFonts w:ascii="Avenir Next Ultra Light" w:hAnsi="Avenir Next Ultra Light" w:cs="Calibri"/>
                <w:b/>
                <w:bCs/>
                <w:color w:val="FFFFFF" w:themeColor="background1"/>
                <w:lang w:val="es-ES"/>
              </w:rPr>
              <w:t>Monitoreo y evaluación</w:t>
            </w:r>
          </w:p>
        </w:tc>
      </w:tr>
      <w:tr w:rsidR="00AF20E2" w:rsidRPr="00AF20E2" w14:paraId="57FA376C" w14:textId="77777777" w:rsidTr="00AF20E2">
        <w:tc>
          <w:tcPr>
            <w:tcW w:w="4248" w:type="dxa"/>
            <w:shd w:val="clear" w:color="auto" w:fill="BEA5A2"/>
            <w:vAlign w:val="center"/>
          </w:tcPr>
          <w:p w14:paraId="54D27A17"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Preguntas</w:t>
            </w:r>
          </w:p>
        </w:tc>
        <w:tc>
          <w:tcPr>
            <w:tcW w:w="2126" w:type="dxa"/>
            <w:shd w:val="clear" w:color="auto" w:fill="BEA5A2"/>
            <w:vAlign w:val="center"/>
          </w:tcPr>
          <w:p w14:paraId="29A29AAD"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Puntuación</w:t>
            </w:r>
          </w:p>
          <w:p w14:paraId="5E14B2EA" w14:textId="3989314F"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(Si/No/Parcialmente)</w:t>
            </w:r>
          </w:p>
        </w:tc>
        <w:tc>
          <w:tcPr>
            <w:tcW w:w="4360" w:type="dxa"/>
            <w:shd w:val="clear" w:color="auto" w:fill="BEA5A2"/>
            <w:vAlign w:val="center"/>
          </w:tcPr>
          <w:p w14:paraId="5B20B391"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Comentarios</w:t>
            </w:r>
          </w:p>
        </w:tc>
        <w:tc>
          <w:tcPr>
            <w:tcW w:w="3578" w:type="dxa"/>
            <w:shd w:val="clear" w:color="auto" w:fill="BEA5A2"/>
            <w:vAlign w:val="center"/>
          </w:tcPr>
          <w:p w14:paraId="1095A57C"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Medios de verificación</w:t>
            </w:r>
          </w:p>
        </w:tc>
      </w:tr>
      <w:tr w:rsidR="00AF20E2" w:rsidRPr="00AF20E2" w14:paraId="46588202" w14:textId="77777777" w:rsidTr="00AF20E2">
        <w:tc>
          <w:tcPr>
            <w:tcW w:w="4248" w:type="dxa"/>
          </w:tcPr>
          <w:p w14:paraId="352D1EF9"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incorpora mecanismos para el monitoreo y evaluación de su desempeño?</w:t>
            </w:r>
          </w:p>
          <w:p w14:paraId="1F0A1026" w14:textId="77777777" w:rsidR="00AF20E2" w:rsidRPr="00AF20E2" w:rsidRDefault="00AF20E2" w:rsidP="00CE0AF6">
            <w:pPr>
              <w:pStyle w:val="ListParagraph"/>
              <w:rPr>
                <w:rFonts w:ascii="Avenir Next" w:hAnsi="Avenir Next"/>
                <w:sz w:val="20"/>
                <w:szCs w:val="20"/>
                <w:lang w:val="es-ES"/>
              </w:rPr>
            </w:pPr>
          </w:p>
        </w:tc>
        <w:tc>
          <w:tcPr>
            <w:tcW w:w="2126" w:type="dxa"/>
          </w:tcPr>
          <w:p w14:paraId="601A458A" w14:textId="77777777" w:rsidR="00AF20E2" w:rsidRPr="00AF20E2" w:rsidRDefault="00AF20E2" w:rsidP="00CE0AF6">
            <w:pPr>
              <w:rPr>
                <w:rFonts w:ascii="Avenir Next" w:hAnsi="Avenir Next"/>
                <w:sz w:val="20"/>
                <w:szCs w:val="20"/>
                <w:lang w:val="es-ES"/>
              </w:rPr>
            </w:pPr>
          </w:p>
        </w:tc>
        <w:tc>
          <w:tcPr>
            <w:tcW w:w="4360" w:type="dxa"/>
          </w:tcPr>
          <w:p w14:paraId="6AEAA0C3" w14:textId="77777777" w:rsidR="00AF20E2" w:rsidRPr="00AF20E2" w:rsidRDefault="00AF20E2" w:rsidP="00CE0AF6">
            <w:pPr>
              <w:rPr>
                <w:rFonts w:ascii="Avenir Next" w:hAnsi="Avenir Next"/>
                <w:sz w:val="20"/>
                <w:szCs w:val="20"/>
                <w:lang w:val="es-ES"/>
              </w:rPr>
            </w:pPr>
          </w:p>
        </w:tc>
        <w:tc>
          <w:tcPr>
            <w:tcW w:w="3578" w:type="dxa"/>
          </w:tcPr>
          <w:p w14:paraId="46264CAE" w14:textId="77777777" w:rsidR="00AF20E2" w:rsidRPr="00AF20E2" w:rsidRDefault="00AF20E2" w:rsidP="00CE0AF6">
            <w:pPr>
              <w:rPr>
                <w:rFonts w:ascii="Avenir Next" w:hAnsi="Avenir Next"/>
                <w:sz w:val="20"/>
                <w:szCs w:val="20"/>
                <w:lang w:val="es-ES"/>
              </w:rPr>
            </w:pPr>
          </w:p>
        </w:tc>
      </w:tr>
      <w:tr w:rsidR="00AF20E2" w:rsidRPr="00AF20E2" w14:paraId="57F56BFF" w14:textId="77777777" w:rsidTr="00AF20E2">
        <w:tc>
          <w:tcPr>
            <w:tcW w:w="4248" w:type="dxa"/>
          </w:tcPr>
          <w:p w14:paraId="4C80558D"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¿Las disposiciones de monitoreo describen los mecanismos para asegurar su correcta implementación?</w:t>
            </w:r>
          </w:p>
          <w:p w14:paraId="725EDF5B" w14:textId="77777777" w:rsidR="00AF20E2" w:rsidRPr="00AF20E2" w:rsidRDefault="00AF20E2" w:rsidP="00CE0AF6">
            <w:pPr>
              <w:pStyle w:val="ListParagraph"/>
              <w:rPr>
                <w:rFonts w:ascii="Avenir Next" w:hAnsi="Avenir Next"/>
                <w:sz w:val="20"/>
                <w:szCs w:val="20"/>
                <w:lang w:val="es-ES"/>
              </w:rPr>
            </w:pPr>
          </w:p>
        </w:tc>
        <w:tc>
          <w:tcPr>
            <w:tcW w:w="2126" w:type="dxa"/>
          </w:tcPr>
          <w:p w14:paraId="3CAB9DCB" w14:textId="77777777" w:rsidR="00AF20E2" w:rsidRPr="00AF20E2" w:rsidRDefault="00AF20E2" w:rsidP="00CE0AF6">
            <w:pPr>
              <w:rPr>
                <w:rFonts w:ascii="Avenir Next" w:hAnsi="Avenir Next"/>
                <w:sz w:val="20"/>
                <w:szCs w:val="20"/>
                <w:lang w:val="es-ES"/>
              </w:rPr>
            </w:pPr>
          </w:p>
        </w:tc>
        <w:tc>
          <w:tcPr>
            <w:tcW w:w="4360" w:type="dxa"/>
          </w:tcPr>
          <w:p w14:paraId="1ED158A1" w14:textId="77777777" w:rsidR="00AF20E2" w:rsidRPr="00AF20E2" w:rsidRDefault="00AF20E2" w:rsidP="00CE0AF6">
            <w:pPr>
              <w:rPr>
                <w:rFonts w:ascii="Avenir Next" w:hAnsi="Avenir Next"/>
                <w:sz w:val="20"/>
                <w:szCs w:val="20"/>
                <w:lang w:val="es-ES"/>
              </w:rPr>
            </w:pPr>
          </w:p>
        </w:tc>
        <w:tc>
          <w:tcPr>
            <w:tcW w:w="3578" w:type="dxa"/>
          </w:tcPr>
          <w:p w14:paraId="6041D0D5" w14:textId="77777777" w:rsidR="00AF20E2" w:rsidRPr="00AF20E2" w:rsidRDefault="00AF20E2" w:rsidP="00CE0AF6">
            <w:pPr>
              <w:rPr>
                <w:rFonts w:ascii="Avenir Next" w:hAnsi="Avenir Next"/>
                <w:sz w:val="20"/>
                <w:szCs w:val="20"/>
                <w:lang w:val="es-ES"/>
              </w:rPr>
            </w:pPr>
          </w:p>
        </w:tc>
      </w:tr>
      <w:tr w:rsidR="00AF20E2" w:rsidRPr="00AF20E2" w14:paraId="01D6D74D" w14:textId="77777777" w:rsidTr="00AF20E2">
        <w:tc>
          <w:tcPr>
            <w:tcW w:w="4248" w:type="dxa"/>
          </w:tcPr>
          <w:p w14:paraId="7D3CEFB2"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 xml:space="preserve">¿El plan o sistema de distribución de ingresos identifica y proporciona acceso a un mecanismo de </w:t>
            </w:r>
            <w:r w:rsidRPr="00AF20E2">
              <w:rPr>
                <w:rFonts w:ascii="Avenir Next" w:hAnsi="Avenir Next"/>
                <w:sz w:val="20"/>
                <w:szCs w:val="20"/>
                <w:lang w:val="es-ES"/>
              </w:rPr>
              <w:lastRenderedPageBreak/>
              <w:t>reparación de quejas?</w:t>
            </w:r>
          </w:p>
        </w:tc>
        <w:tc>
          <w:tcPr>
            <w:tcW w:w="2126" w:type="dxa"/>
          </w:tcPr>
          <w:p w14:paraId="25C48C9B" w14:textId="77777777" w:rsidR="00AF20E2" w:rsidRPr="00AF20E2" w:rsidRDefault="00AF20E2" w:rsidP="00CE0AF6">
            <w:pPr>
              <w:rPr>
                <w:rFonts w:ascii="Avenir Next" w:hAnsi="Avenir Next"/>
                <w:sz w:val="20"/>
                <w:szCs w:val="20"/>
                <w:lang w:val="es-ES"/>
              </w:rPr>
            </w:pPr>
          </w:p>
        </w:tc>
        <w:tc>
          <w:tcPr>
            <w:tcW w:w="4360" w:type="dxa"/>
          </w:tcPr>
          <w:p w14:paraId="0052E36A" w14:textId="77777777" w:rsidR="00AF20E2" w:rsidRPr="00AF20E2" w:rsidRDefault="00AF20E2" w:rsidP="00CE0AF6">
            <w:pPr>
              <w:rPr>
                <w:rFonts w:ascii="Avenir Next" w:hAnsi="Avenir Next"/>
                <w:sz w:val="20"/>
                <w:szCs w:val="20"/>
                <w:lang w:val="es-ES"/>
              </w:rPr>
            </w:pPr>
          </w:p>
        </w:tc>
        <w:tc>
          <w:tcPr>
            <w:tcW w:w="3578" w:type="dxa"/>
          </w:tcPr>
          <w:p w14:paraId="06EB0977" w14:textId="77777777" w:rsidR="00AF20E2" w:rsidRPr="00AF20E2" w:rsidRDefault="00AF20E2" w:rsidP="00CE0AF6">
            <w:pPr>
              <w:rPr>
                <w:rFonts w:ascii="Avenir Next" w:hAnsi="Avenir Next"/>
                <w:sz w:val="20"/>
                <w:szCs w:val="20"/>
                <w:lang w:val="es-ES"/>
              </w:rPr>
            </w:pPr>
          </w:p>
        </w:tc>
      </w:tr>
      <w:tr w:rsidR="00AF20E2" w:rsidRPr="00AF20E2" w14:paraId="05C22E2F" w14:textId="77777777" w:rsidTr="00AF20E2">
        <w:tc>
          <w:tcPr>
            <w:tcW w:w="14312" w:type="dxa"/>
            <w:gridSpan w:val="4"/>
            <w:shd w:val="clear" w:color="auto" w:fill="573B46"/>
            <w:vAlign w:val="center"/>
          </w:tcPr>
          <w:p w14:paraId="2A0E6840" w14:textId="77777777" w:rsidR="00AF20E2" w:rsidRPr="00AF20E2" w:rsidRDefault="00AF20E2" w:rsidP="00AF20E2">
            <w:pPr>
              <w:widowControl w:val="0"/>
              <w:autoSpaceDE w:val="0"/>
              <w:autoSpaceDN w:val="0"/>
              <w:spacing w:before="67"/>
              <w:rPr>
                <w:rFonts w:ascii="Avenir Next Ultra Light" w:hAnsi="Avenir Next Ultra Light"/>
                <w:b/>
                <w:bCs/>
                <w:color w:val="FFFFFF" w:themeColor="background1"/>
                <w:lang w:val="es-ES"/>
              </w:rPr>
            </w:pPr>
            <w:r w:rsidRPr="00AF20E2">
              <w:rPr>
                <w:rFonts w:ascii="Avenir Next Ultra Light" w:hAnsi="Avenir Next Ultra Light"/>
                <w:b/>
                <w:bCs/>
                <w:color w:val="FFFFFF" w:themeColor="background1"/>
                <w:lang w:val="es-ES"/>
              </w:rPr>
              <w:t>Alineación con la legislación relevante</w:t>
            </w:r>
          </w:p>
        </w:tc>
      </w:tr>
      <w:tr w:rsidR="00AF20E2" w:rsidRPr="00AF20E2" w14:paraId="3F2181A4" w14:textId="77777777" w:rsidTr="00AF20E2">
        <w:tc>
          <w:tcPr>
            <w:tcW w:w="4248" w:type="dxa"/>
            <w:shd w:val="clear" w:color="auto" w:fill="BEA5A2"/>
            <w:vAlign w:val="center"/>
          </w:tcPr>
          <w:p w14:paraId="057276E0"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Preguntas</w:t>
            </w:r>
          </w:p>
        </w:tc>
        <w:tc>
          <w:tcPr>
            <w:tcW w:w="2126" w:type="dxa"/>
            <w:shd w:val="clear" w:color="auto" w:fill="BEA5A2"/>
            <w:vAlign w:val="center"/>
          </w:tcPr>
          <w:p w14:paraId="134732E3"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Puntuación</w:t>
            </w:r>
          </w:p>
          <w:p w14:paraId="2D77FB31" w14:textId="5F35681B"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(Sí/No/Parcialmente)</w:t>
            </w:r>
          </w:p>
        </w:tc>
        <w:tc>
          <w:tcPr>
            <w:tcW w:w="4360" w:type="dxa"/>
            <w:shd w:val="clear" w:color="auto" w:fill="BEA5A2"/>
            <w:vAlign w:val="center"/>
          </w:tcPr>
          <w:p w14:paraId="6EEC60A3"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Comentarios</w:t>
            </w:r>
          </w:p>
        </w:tc>
        <w:tc>
          <w:tcPr>
            <w:tcW w:w="3578" w:type="dxa"/>
            <w:shd w:val="clear" w:color="auto" w:fill="BEA5A2"/>
            <w:vAlign w:val="center"/>
          </w:tcPr>
          <w:p w14:paraId="7D44453F" w14:textId="77777777" w:rsidR="00AF20E2" w:rsidRPr="00AF20E2" w:rsidRDefault="00AF20E2" w:rsidP="00AF20E2">
            <w:pPr>
              <w:jc w:val="center"/>
              <w:rPr>
                <w:rFonts w:ascii="Bodoni 72 Book" w:hAnsi="Bodoni 72 Book"/>
                <w:sz w:val="22"/>
                <w:szCs w:val="22"/>
                <w:lang w:val="es-ES"/>
              </w:rPr>
            </w:pPr>
            <w:r w:rsidRPr="00AF20E2">
              <w:rPr>
                <w:rFonts w:ascii="Bodoni 72 Book" w:hAnsi="Bodoni 72 Book"/>
                <w:sz w:val="22"/>
                <w:szCs w:val="22"/>
                <w:lang w:val="es-ES"/>
              </w:rPr>
              <w:t>Medios de verificación</w:t>
            </w:r>
          </w:p>
        </w:tc>
      </w:tr>
      <w:tr w:rsidR="00AF20E2" w:rsidRPr="00AF20E2" w14:paraId="5FA82E8B" w14:textId="77777777" w:rsidTr="00AF20E2">
        <w:tc>
          <w:tcPr>
            <w:tcW w:w="4248" w:type="dxa"/>
          </w:tcPr>
          <w:p w14:paraId="03773EE2"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¿Se construyó el plan o sistema de distribución de ingresos con la participación de las partes interesadas?</w:t>
            </w:r>
          </w:p>
          <w:p w14:paraId="10B41076" w14:textId="77777777" w:rsidR="00AF20E2" w:rsidRPr="00AF20E2" w:rsidRDefault="00AF20E2" w:rsidP="00CE0AF6">
            <w:pPr>
              <w:pStyle w:val="ListParagraph"/>
              <w:rPr>
                <w:rFonts w:ascii="Avenir Next" w:hAnsi="Avenir Next"/>
                <w:sz w:val="20"/>
                <w:szCs w:val="20"/>
                <w:lang w:val="es-ES"/>
              </w:rPr>
            </w:pPr>
          </w:p>
        </w:tc>
        <w:tc>
          <w:tcPr>
            <w:tcW w:w="2126" w:type="dxa"/>
          </w:tcPr>
          <w:p w14:paraId="66E846B9" w14:textId="77777777" w:rsidR="00AF20E2" w:rsidRPr="00AF20E2" w:rsidRDefault="00AF20E2" w:rsidP="00CE0AF6">
            <w:pPr>
              <w:rPr>
                <w:rFonts w:ascii="Avenir Next" w:hAnsi="Avenir Next"/>
                <w:sz w:val="20"/>
                <w:szCs w:val="20"/>
                <w:lang w:val="es-ES"/>
              </w:rPr>
            </w:pPr>
          </w:p>
        </w:tc>
        <w:tc>
          <w:tcPr>
            <w:tcW w:w="4360" w:type="dxa"/>
          </w:tcPr>
          <w:p w14:paraId="77EE0876" w14:textId="77777777" w:rsidR="00AF20E2" w:rsidRPr="00AF20E2" w:rsidRDefault="00AF20E2" w:rsidP="00CE0AF6">
            <w:pPr>
              <w:rPr>
                <w:rFonts w:ascii="Avenir Next" w:hAnsi="Avenir Next"/>
                <w:sz w:val="20"/>
                <w:szCs w:val="20"/>
                <w:lang w:val="es-ES"/>
              </w:rPr>
            </w:pPr>
          </w:p>
        </w:tc>
        <w:tc>
          <w:tcPr>
            <w:tcW w:w="3578" w:type="dxa"/>
          </w:tcPr>
          <w:p w14:paraId="01C78E3B" w14:textId="77777777" w:rsidR="00AF20E2" w:rsidRPr="00AF20E2" w:rsidRDefault="00AF20E2" w:rsidP="00CE0AF6">
            <w:pPr>
              <w:rPr>
                <w:rFonts w:ascii="Avenir Next" w:hAnsi="Avenir Next"/>
                <w:sz w:val="20"/>
                <w:szCs w:val="20"/>
                <w:lang w:val="es-ES"/>
              </w:rPr>
            </w:pPr>
          </w:p>
        </w:tc>
      </w:tr>
      <w:tr w:rsidR="00AF20E2" w:rsidRPr="00AF20E2" w14:paraId="56AB7164" w14:textId="77777777" w:rsidTr="00AF20E2">
        <w:tc>
          <w:tcPr>
            <w:tcW w:w="4248" w:type="dxa"/>
          </w:tcPr>
          <w:p w14:paraId="520E84C8" w14:textId="1EE7CDCB"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está construido de acuerdo con la legislación y la regulación de la jurisdicción con respecto al respeto de los derechos de IP y LC?</w:t>
            </w:r>
          </w:p>
          <w:p w14:paraId="1208C7EC" w14:textId="77777777" w:rsidR="00AF20E2" w:rsidRPr="00AF20E2" w:rsidRDefault="00AF20E2" w:rsidP="00CE0AF6">
            <w:pPr>
              <w:pStyle w:val="ListParagraph"/>
              <w:rPr>
                <w:rFonts w:ascii="Avenir Next" w:hAnsi="Avenir Next"/>
                <w:sz w:val="20"/>
                <w:szCs w:val="20"/>
                <w:lang w:val="es-ES"/>
              </w:rPr>
            </w:pPr>
          </w:p>
        </w:tc>
        <w:tc>
          <w:tcPr>
            <w:tcW w:w="2126" w:type="dxa"/>
          </w:tcPr>
          <w:p w14:paraId="75EA6559" w14:textId="77777777" w:rsidR="00AF20E2" w:rsidRPr="00AF20E2" w:rsidRDefault="00AF20E2" w:rsidP="00CE0AF6">
            <w:pPr>
              <w:rPr>
                <w:rFonts w:ascii="Avenir Next" w:hAnsi="Avenir Next"/>
                <w:sz w:val="20"/>
                <w:szCs w:val="20"/>
                <w:lang w:val="es-ES"/>
              </w:rPr>
            </w:pPr>
          </w:p>
        </w:tc>
        <w:tc>
          <w:tcPr>
            <w:tcW w:w="4360" w:type="dxa"/>
          </w:tcPr>
          <w:p w14:paraId="3C3F0583" w14:textId="77777777" w:rsidR="00AF20E2" w:rsidRPr="00AF20E2" w:rsidRDefault="00AF20E2" w:rsidP="00CE0AF6">
            <w:pPr>
              <w:rPr>
                <w:rFonts w:ascii="Avenir Next" w:hAnsi="Avenir Next"/>
                <w:sz w:val="20"/>
                <w:szCs w:val="20"/>
                <w:lang w:val="es-ES"/>
              </w:rPr>
            </w:pPr>
          </w:p>
        </w:tc>
        <w:tc>
          <w:tcPr>
            <w:tcW w:w="3578" w:type="dxa"/>
          </w:tcPr>
          <w:p w14:paraId="58C347EF" w14:textId="77777777" w:rsidR="00AF20E2" w:rsidRPr="00AF20E2" w:rsidRDefault="00AF20E2" w:rsidP="00CE0AF6">
            <w:pPr>
              <w:rPr>
                <w:rFonts w:ascii="Avenir Next" w:hAnsi="Avenir Next"/>
                <w:sz w:val="20"/>
                <w:szCs w:val="20"/>
                <w:lang w:val="es-ES"/>
              </w:rPr>
            </w:pPr>
          </w:p>
        </w:tc>
      </w:tr>
      <w:tr w:rsidR="00AF20E2" w:rsidRPr="00AF20E2" w14:paraId="23DEDD0C" w14:textId="77777777" w:rsidTr="00AF20E2">
        <w:trPr>
          <w:trHeight w:val="300"/>
        </w:trPr>
        <w:tc>
          <w:tcPr>
            <w:tcW w:w="4248" w:type="dxa"/>
          </w:tcPr>
          <w:p w14:paraId="0A29F3CE"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está alineado con la legislación pertinente respecto del reconocimiento y la protección de los derechos de tenencia de la tierra de las partes interesadas (énfasis en los derechos de los pueblos indígenas y las comunidades locales)?</w:t>
            </w:r>
          </w:p>
          <w:p w14:paraId="067ADD96" w14:textId="77777777" w:rsidR="00AF20E2" w:rsidRPr="00AF20E2" w:rsidRDefault="00AF20E2" w:rsidP="00CE0AF6">
            <w:pPr>
              <w:pStyle w:val="ListParagraph"/>
              <w:rPr>
                <w:rFonts w:ascii="Avenir Next" w:hAnsi="Avenir Next"/>
                <w:sz w:val="20"/>
                <w:szCs w:val="20"/>
                <w:lang w:val="es-ES"/>
              </w:rPr>
            </w:pPr>
          </w:p>
        </w:tc>
        <w:tc>
          <w:tcPr>
            <w:tcW w:w="2126" w:type="dxa"/>
          </w:tcPr>
          <w:p w14:paraId="32937C5D" w14:textId="77777777" w:rsidR="00AF20E2" w:rsidRPr="00AF20E2" w:rsidRDefault="00AF20E2" w:rsidP="00CE0AF6">
            <w:pPr>
              <w:rPr>
                <w:rFonts w:ascii="Avenir Next" w:hAnsi="Avenir Next"/>
                <w:sz w:val="20"/>
                <w:szCs w:val="20"/>
                <w:lang w:val="es-ES"/>
              </w:rPr>
            </w:pPr>
          </w:p>
        </w:tc>
        <w:tc>
          <w:tcPr>
            <w:tcW w:w="4360" w:type="dxa"/>
          </w:tcPr>
          <w:p w14:paraId="5F16D074" w14:textId="77777777" w:rsidR="00AF20E2" w:rsidRPr="00AF20E2" w:rsidRDefault="00AF20E2" w:rsidP="00CE0AF6">
            <w:pPr>
              <w:rPr>
                <w:rFonts w:ascii="Avenir Next" w:hAnsi="Avenir Next"/>
                <w:sz w:val="20"/>
                <w:szCs w:val="20"/>
                <w:lang w:val="es-ES"/>
              </w:rPr>
            </w:pPr>
          </w:p>
        </w:tc>
        <w:tc>
          <w:tcPr>
            <w:tcW w:w="3578" w:type="dxa"/>
          </w:tcPr>
          <w:p w14:paraId="0947D5B9" w14:textId="77777777" w:rsidR="00AF20E2" w:rsidRPr="00AF20E2" w:rsidRDefault="00AF20E2" w:rsidP="00CE0AF6">
            <w:pPr>
              <w:rPr>
                <w:rFonts w:ascii="Avenir Next" w:hAnsi="Avenir Next"/>
                <w:sz w:val="20"/>
                <w:szCs w:val="20"/>
                <w:lang w:val="es-ES"/>
              </w:rPr>
            </w:pPr>
          </w:p>
        </w:tc>
      </w:tr>
      <w:tr w:rsidR="00AF20E2" w:rsidRPr="00AF20E2" w14:paraId="133C2E01" w14:textId="77777777" w:rsidTr="00AF20E2">
        <w:tc>
          <w:tcPr>
            <w:tcW w:w="4248" w:type="dxa"/>
          </w:tcPr>
          <w:p w14:paraId="37D2C9BC" w14:textId="77777777" w:rsidR="00AF20E2" w:rsidRPr="00AF20E2" w:rsidRDefault="00AF20E2" w:rsidP="00AF20E2">
            <w:pPr>
              <w:pStyle w:val="ListParagraph"/>
              <w:numPr>
                <w:ilvl w:val="0"/>
                <w:numId w:val="15"/>
              </w:numPr>
              <w:rPr>
                <w:rFonts w:ascii="Avenir Next" w:hAnsi="Avenir Next"/>
                <w:sz w:val="20"/>
                <w:szCs w:val="20"/>
                <w:lang w:val="es-ES"/>
              </w:rPr>
            </w:pPr>
            <w:r w:rsidRPr="00AF20E2">
              <w:rPr>
                <w:rFonts w:ascii="Avenir Next" w:hAnsi="Avenir Next"/>
                <w:sz w:val="20"/>
                <w:szCs w:val="20"/>
                <w:lang w:val="es-ES"/>
              </w:rPr>
              <w:t>¿El plan o sistema de distribución de ingresos está alineado con las estructuras nacionales actuales de gobernanza forestal?</w:t>
            </w:r>
            <w:r w:rsidRPr="00AF20E2">
              <w:rPr>
                <w:rStyle w:val="FootnoteReference"/>
                <w:rFonts w:ascii="Avenir Next" w:hAnsi="Avenir Next"/>
                <w:sz w:val="20"/>
                <w:szCs w:val="20"/>
                <w:lang w:val="es-ES"/>
              </w:rPr>
              <w:footnoteReference w:id="10"/>
            </w:r>
          </w:p>
          <w:p w14:paraId="2C9209DD" w14:textId="77777777" w:rsidR="00AF20E2" w:rsidRPr="00AF20E2" w:rsidRDefault="00AF20E2" w:rsidP="00CE0AF6">
            <w:pPr>
              <w:rPr>
                <w:rFonts w:ascii="Avenir Next" w:hAnsi="Avenir Next"/>
                <w:sz w:val="20"/>
                <w:szCs w:val="20"/>
                <w:lang w:val="es-ES"/>
              </w:rPr>
            </w:pPr>
          </w:p>
        </w:tc>
        <w:tc>
          <w:tcPr>
            <w:tcW w:w="2126" w:type="dxa"/>
          </w:tcPr>
          <w:p w14:paraId="79913195" w14:textId="77777777" w:rsidR="00AF20E2" w:rsidRPr="00AF20E2" w:rsidRDefault="00AF20E2" w:rsidP="00CE0AF6">
            <w:pPr>
              <w:rPr>
                <w:rFonts w:ascii="Avenir Next" w:hAnsi="Avenir Next"/>
                <w:sz w:val="20"/>
                <w:szCs w:val="20"/>
                <w:lang w:val="es-ES"/>
              </w:rPr>
            </w:pPr>
          </w:p>
        </w:tc>
        <w:tc>
          <w:tcPr>
            <w:tcW w:w="4360" w:type="dxa"/>
          </w:tcPr>
          <w:p w14:paraId="52281A36" w14:textId="77777777" w:rsidR="00AF20E2" w:rsidRPr="00AF20E2" w:rsidRDefault="00AF20E2" w:rsidP="00CE0AF6">
            <w:pPr>
              <w:rPr>
                <w:rFonts w:ascii="Avenir Next" w:hAnsi="Avenir Next"/>
                <w:sz w:val="20"/>
                <w:szCs w:val="20"/>
                <w:lang w:val="es-ES"/>
              </w:rPr>
            </w:pPr>
          </w:p>
        </w:tc>
        <w:tc>
          <w:tcPr>
            <w:tcW w:w="3578" w:type="dxa"/>
          </w:tcPr>
          <w:p w14:paraId="678277D6" w14:textId="77777777" w:rsidR="00AF20E2" w:rsidRPr="00AF20E2" w:rsidRDefault="00AF20E2" w:rsidP="00CE0AF6">
            <w:pPr>
              <w:rPr>
                <w:rFonts w:ascii="Avenir Next" w:hAnsi="Avenir Next"/>
                <w:sz w:val="20"/>
                <w:szCs w:val="20"/>
                <w:lang w:val="es-ES"/>
              </w:rPr>
            </w:pPr>
          </w:p>
        </w:tc>
      </w:tr>
    </w:tbl>
    <w:p w14:paraId="0E495D6F" w14:textId="77777777" w:rsidR="00AF20E2" w:rsidRDefault="00AF20E2">
      <w:pPr>
        <w:spacing w:before="120" w:after="120" w:line="336" w:lineRule="auto"/>
        <w:rPr>
          <w:rFonts w:ascii="IBM Plex Sans" w:eastAsia="IBM Plex Sans" w:hAnsi="IBM Plex Sans" w:cs="IBM Plex Sans"/>
          <w:color w:val="000000"/>
          <w:lang w:val="es-ES"/>
        </w:rPr>
      </w:pPr>
    </w:p>
    <w:p w14:paraId="6094AAC3" w14:textId="77777777" w:rsidR="001A4D55" w:rsidRDefault="001A4D55">
      <w:pPr>
        <w:spacing w:before="120" w:after="120" w:line="336" w:lineRule="auto"/>
        <w:rPr>
          <w:rFonts w:ascii="IBM Plex Sans" w:eastAsia="IBM Plex Sans" w:hAnsi="IBM Plex Sans" w:cs="IBM Plex Sans"/>
          <w:color w:val="000000"/>
          <w:lang w:val="es-ES"/>
        </w:rPr>
      </w:pPr>
    </w:p>
    <w:p w14:paraId="288438C6" w14:textId="77777777" w:rsidR="001A4D55" w:rsidRDefault="001A4D55">
      <w:pPr>
        <w:spacing w:before="120" w:after="120" w:line="336" w:lineRule="auto"/>
        <w:rPr>
          <w:rFonts w:ascii="IBM Plex Sans" w:eastAsia="IBM Plex Sans" w:hAnsi="IBM Plex Sans" w:cs="IBM Plex Sans"/>
          <w:color w:val="000000"/>
          <w:lang w:val="es-ES"/>
        </w:rPr>
      </w:pPr>
    </w:p>
    <w:p w14:paraId="7EAADE6D" w14:textId="77777777" w:rsidR="001A4D55" w:rsidRDefault="001A4D55">
      <w:pPr>
        <w:spacing w:before="120" w:after="120" w:line="336" w:lineRule="auto"/>
        <w:rPr>
          <w:rFonts w:ascii="IBM Plex Sans" w:eastAsia="IBM Plex Sans" w:hAnsi="IBM Plex Sans" w:cs="IBM Plex Sans"/>
          <w:color w:val="000000"/>
          <w:lang w:val="es-ES"/>
        </w:rPr>
      </w:pPr>
    </w:p>
    <w:p w14:paraId="0888DB5D" w14:textId="77777777" w:rsidR="001A4D55" w:rsidRDefault="001A4D55">
      <w:pPr>
        <w:spacing w:before="120" w:after="120" w:line="336" w:lineRule="auto"/>
        <w:rPr>
          <w:rFonts w:ascii="IBM Plex Sans" w:eastAsia="IBM Plex Sans" w:hAnsi="IBM Plex Sans" w:cs="IBM Plex Sans"/>
          <w:color w:val="000000"/>
          <w:lang w:val="es-ES"/>
        </w:rPr>
      </w:pPr>
    </w:p>
    <w:p w14:paraId="0D26E2D7" w14:textId="77777777" w:rsidR="001A4D55" w:rsidRDefault="001A4D55">
      <w:pPr>
        <w:spacing w:before="120" w:after="120" w:line="336" w:lineRule="auto"/>
        <w:rPr>
          <w:rFonts w:ascii="IBM Plex Sans" w:eastAsia="IBM Plex Sans" w:hAnsi="IBM Plex Sans" w:cs="IBM Plex Sans"/>
          <w:color w:val="000000"/>
          <w:lang w:val="es-ES"/>
        </w:rPr>
      </w:pPr>
    </w:p>
    <w:p w14:paraId="4A64C610" w14:textId="77777777" w:rsidR="001A4D55" w:rsidRDefault="001A4D55">
      <w:pPr>
        <w:spacing w:before="120" w:after="120" w:line="336" w:lineRule="auto"/>
        <w:rPr>
          <w:rFonts w:ascii="IBM Plex Sans" w:eastAsia="IBM Plex Sans" w:hAnsi="IBM Plex Sans" w:cs="IBM Plex Sans"/>
          <w:color w:val="000000"/>
          <w:lang w:val="es-ES"/>
        </w:rPr>
      </w:pPr>
    </w:p>
    <w:p w14:paraId="3A68C796" w14:textId="77777777" w:rsidR="001A4D55" w:rsidRDefault="001A4D55">
      <w:pPr>
        <w:spacing w:before="120" w:after="120" w:line="336" w:lineRule="auto"/>
        <w:rPr>
          <w:rFonts w:ascii="IBM Plex Sans" w:eastAsia="IBM Plex Sans" w:hAnsi="IBM Plex Sans" w:cs="IBM Plex Sans"/>
          <w:color w:val="000000"/>
          <w:lang w:val="es-ES"/>
        </w:rPr>
      </w:pPr>
    </w:p>
    <w:p w14:paraId="6282B4FC" w14:textId="77777777" w:rsidR="001A4D55" w:rsidRDefault="001A4D55">
      <w:pPr>
        <w:spacing w:before="120" w:after="120" w:line="336" w:lineRule="auto"/>
        <w:rPr>
          <w:rFonts w:ascii="IBM Plex Sans" w:eastAsia="IBM Plex Sans" w:hAnsi="IBM Plex Sans" w:cs="IBM Plex Sans"/>
          <w:color w:val="000000"/>
          <w:lang w:val="es-ES"/>
        </w:rPr>
      </w:pPr>
    </w:p>
    <w:p w14:paraId="25BCE8B4" w14:textId="77777777" w:rsidR="001A4D55" w:rsidRDefault="001A4D55">
      <w:pPr>
        <w:spacing w:before="120" w:after="120" w:line="336" w:lineRule="auto"/>
        <w:rPr>
          <w:rFonts w:ascii="IBM Plex Sans" w:eastAsia="IBM Plex Sans" w:hAnsi="IBM Plex Sans" w:cs="IBM Plex Sans"/>
          <w:color w:val="000000"/>
          <w:lang w:val="es-ES"/>
        </w:rPr>
      </w:pPr>
    </w:p>
    <w:p w14:paraId="113D4656" w14:textId="77777777" w:rsidR="001A4D55" w:rsidRDefault="001A4D55">
      <w:pPr>
        <w:spacing w:before="120" w:after="120" w:line="336" w:lineRule="auto"/>
        <w:rPr>
          <w:rFonts w:ascii="IBM Plex Sans" w:eastAsia="IBM Plex Sans" w:hAnsi="IBM Plex Sans" w:cs="IBM Plex Sans"/>
          <w:color w:val="000000"/>
          <w:lang w:val="es-ES"/>
        </w:rPr>
      </w:pPr>
    </w:p>
    <w:p w14:paraId="3A98310C" w14:textId="77777777" w:rsidR="001A4D55" w:rsidRDefault="001A4D55">
      <w:pPr>
        <w:spacing w:before="120" w:after="120" w:line="336" w:lineRule="auto"/>
        <w:rPr>
          <w:rFonts w:ascii="IBM Plex Sans" w:eastAsia="IBM Plex Sans" w:hAnsi="IBM Plex Sans" w:cs="IBM Plex Sans"/>
          <w:color w:val="000000"/>
          <w:lang w:val="es-ES"/>
        </w:rPr>
        <w:sectPr w:rsidR="001A4D55" w:rsidSect="00BB07B2">
          <w:pgSz w:w="16845" w:h="11910" w:orient="landscape"/>
          <w:pgMar w:top="1440" w:right="1440" w:bottom="1440" w:left="1440" w:header="720" w:footer="720" w:gutter="0"/>
          <w:cols w:space="720"/>
          <w:docGrid w:linePitch="326"/>
        </w:sectPr>
      </w:pPr>
    </w:p>
    <w:p w14:paraId="47E5EEC5" w14:textId="3937BDDE" w:rsidR="001A4D55" w:rsidRDefault="001A4D55" w:rsidP="001A4D55">
      <w:pPr>
        <w:spacing w:before="120" w:after="120" w:line="336" w:lineRule="auto"/>
        <w:rPr>
          <w:rFonts w:ascii="Bodoni 72 Book" w:eastAsia="Prata" w:hAnsi="Bodoni 72 Book" w:cs="Prata"/>
          <w:color w:val="573B46"/>
          <w:sz w:val="64"/>
          <w:szCs w:val="64"/>
          <w:lang w:val="es-ES"/>
        </w:rPr>
      </w:pPr>
      <w:r w:rsidRPr="001A4D55">
        <w:rPr>
          <w:rFonts w:ascii="Bodoni 72 Book" w:eastAsia="Prata" w:hAnsi="Bodoni 72 Book" w:cs="Prata"/>
          <w:color w:val="573B46"/>
          <w:sz w:val="64"/>
          <w:szCs w:val="64"/>
          <w:lang w:val="es-ES"/>
        </w:rPr>
        <w:lastRenderedPageBreak/>
        <w:t>Sección B - Plantilla de Informe para la Evaluación Cualitativa</w:t>
      </w:r>
      <w:r>
        <w:rPr>
          <w:rFonts w:ascii="Bodoni 72 Book" w:eastAsia="Prata" w:hAnsi="Bodoni 72 Book" w:cs="Prata"/>
          <w:color w:val="573B46"/>
          <w:sz w:val="64"/>
          <w:szCs w:val="64"/>
          <w:lang w:val="es-ES"/>
        </w:rPr>
        <w:t xml:space="preserve"> </w:t>
      </w:r>
    </w:p>
    <w:p w14:paraId="79779792" w14:textId="77777777" w:rsidR="001A4D55" w:rsidRPr="00AF20E2" w:rsidRDefault="001A4D55" w:rsidP="001A4D55">
      <w:pPr>
        <w:pBdr>
          <w:bottom w:val="single" w:sz="6" w:space="0" w:color="573B46"/>
        </w:pBdr>
        <w:spacing w:before="120" w:after="120" w:line="0" w:lineRule="auto"/>
        <w:rPr>
          <w:lang w:val="es-ES"/>
        </w:rPr>
      </w:pPr>
    </w:p>
    <w:p w14:paraId="5CC69F63" w14:textId="77777777" w:rsidR="001A4D55" w:rsidRDefault="001A4D55" w:rsidP="001A4D55">
      <w:pPr>
        <w:spacing w:before="120" w:after="120" w:line="336" w:lineRule="auto"/>
        <w:rPr>
          <w:rFonts w:ascii="Avenir Next" w:eastAsia="IBM Plex Sans" w:hAnsi="Avenir Next" w:cs="IBM Plex Sans"/>
          <w:color w:val="000000"/>
          <w:sz w:val="20"/>
          <w:szCs w:val="20"/>
          <w:lang w:val="es-ES"/>
        </w:rPr>
      </w:pPr>
      <w:r w:rsidRPr="001A4D55">
        <w:rPr>
          <w:rFonts w:ascii="Avenir Next" w:eastAsia="IBM Plex Sans" w:hAnsi="Avenir Next" w:cs="IBM Plex Sans"/>
          <w:color w:val="000000"/>
          <w:sz w:val="20"/>
          <w:szCs w:val="20"/>
          <w:lang w:val="es-ES"/>
        </w:rPr>
        <w:t>Para completar esta plantilla de informe, los usuarios (con el apoyo de una organización internacional experta seleccionada) deben considerar las respuestas proporcionadas en la 'Sección A' anterior. Al completar esta plantilla, los usuarios deberán considerar el alcance de cada columna de la siguiente manera:</w:t>
      </w:r>
    </w:p>
    <w:p w14:paraId="60261DC9" w14:textId="77777777" w:rsidR="001A4D55" w:rsidRDefault="001A4D55" w:rsidP="001A4D55">
      <w:pPr>
        <w:pStyle w:val="ListParagraph"/>
        <w:numPr>
          <w:ilvl w:val="0"/>
          <w:numId w:val="17"/>
        </w:numPr>
        <w:spacing w:before="120" w:after="120" w:line="336" w:lineRule="auto"/>
        <w:rPr>
          <w:rFonts w:ascii="Avenir Next" w:eastAsia="IBM Plex Sans" w:hAnsi="Avenir Next" w:cs="IBM Plex Sans"/>
          <w:color w:val="000000"/>
          <w:sz w:val="20"/>
          <w:szCs w:val="20"/>
          <w:lang w:val="es-ES"/>
        </w:rPr>
      </w:pPr>
      <w:r w:rsidRPr="001A4D55">
        <w:rPr>
          <w:rFonts w:ascii="Avenir Next" w:eastAsia="IBM Plex Sans" w:hAnsi="Avenir Next" w:cs="IBM Plex Sans"/>
          <w:color w:val="000000"/>
          <w:sz w:val="20"/>
          <w:szCs w:val="20"/>
          <w:lang w:val="es-ES"/>
        </w:rPr>
        <w:t>Columna 2 (Deficiencias o brechas identificadas): para que los usuarios identifiquen y resuman las deficiencias o brechas clave (problemas de no conformidad) identificadas en correlación con las mejores prácticas internacionales, es decir, cuando la puntuación identificada fue 'Parcialmente' o 'No'. ' en la 'Sección A'. También existe la oportunidad de identificar otras deficiencias generales.</w:t>
      </w:r>
    </w:p>
    <w:p w14:paraId="5E5D6DE4" w14:textId="49AFABC2" w:rsidR="001A4D55" w:rsidRPr="001A4D55" w:rsidRDefault="001A4D55" w:rsidP="001A4D55">
      <w:pPr>
        <w:pStyle w:val="ListParagraph"/>
        <w:numPr>
          <w:ilvl w:val="0"/>
          <w:numId w:val="17"/>
        </w:numPr>
        <w:spacing w:before="120" w:after="120" w:line="336" w:lineRule="auto"/>
        <w:rPr>
          <w:rFonts w:ascii="Avenir Next" w:eastAsia="IBM Plex Sans" w:hAnsi="Avenir Next" w:cs="IBM Plex Sans"/>
          <w:color w:val="000000"/>
          <w:sz w:val="20"/>
          <w:szCs w:val="20"/>
          <w:lang w:val="es-ES"/>
        </w:rPr>
      </w:pPr>
      <w:r w:rsidRPr="001A4D55">
        <w:rPr>
          <w:rFonts w:ascii="Avenir Next" w:eastAsia="IBM Plex Sans" w:hAnsi="Avenir Next" w:cs="IBM Plex Sans"/>
          <w:color w:val="000000"/>
          <w:sz w:val="20"/>
          <w:szCs w:val="20"/>
          <w:lang w:val="es-ES"/>
        </w:rPr>
        <w:t>Columna 3 (Recomendaciones): para que los usuarios identifiquen acciones/recomendaciones a tomar para abordar estas deficiencias o brechas clave.</w:t>
      </w:r>
    </w:p>
    <w:tbl>
      <w:tblPr>
        <w:tblStyle w:val="TableGrid"/>
        <w:tblW w:w="5034" w:type="pct"/>
        <w:tblBorders>
          <w:top w:val="single" w:sz="6" w:space="0" w:color="573B46"/>
          <w:left w:val="single" w:sz="6" w:space="0" w:color="573B46"/>
          <w:bottom w:val="single" w:sz="6" w:space="0" w:color="573B46"/>
          <w:right w:val="single" w:sz="6" w:space="0" w:color="573B46"/>
          <w:insideH w:val="single" w:sz="6" w:space="0" w:color="573B46"/>
          <w:insideV w:val="single" w:sz="6" w:space="0" w:color="573B46"/>
        </w:tblBorders>
        <w:tblLook w:val="04A0" w:firstRow="1" w:lastRow="0" w:firstColumn="1" w:lastColumn="0" w:noHBand="0" w:noVBand="1"/>
      </w:tblPr>
      <w:tblGrid>
        <w:gridCol w:w="1747"/>
        <w:gridCol w:w="6819"/>
        <w:gridCol w:w="5711"/>
      </w:tblGrid>
      <w:tr w:rsidR="001A4D55" w:rsidRPr="001A4D55" w14:paraId="34CD5E52" w14:textId="77777777" w:rsidTr="001A4D55">
        <w:trPr>
          <w:trHeight w:val="336"/>
        </w:trPr>
        <w:tc>
          <w:tcPr>
            <w:tcW w:w="612" w:type="pct"/>
            <w:shd w:val="clear" w:color="auto" w:fill="573B46"/>
            <w:vAlign w:val="center"/>
          </w:tcPr>
          <w:p w14:paraId="2EB71E45" w14:textId="79ABD97F" w:rsidR="001A4D55" w:rsidRPr="00910AC5" w:rsidRDefault="001A4D55" w:rsidP="001A4D55">
            <w:pPr>
              <w:jc w:val="center"/>
              <w:rPr>
                <w:rFonts w:ascii="Bodoni 72 Book" w:hAnsi="Bodoni 72 Book"/>
                <w:color w:val="FFFFFF" w:themeColor="background1"/>
                <w:sz w:val="22"/>
                <w:szCs w:val="22"/>
                <w:lang w:val="es-ES"/>
              </w:rPr>
            </w:pPr>
            <w:r w:rsidRPr="00910AC5">
              <w:rPr>
                <w:rFonts w:ascii="Bodoni 72 Book" w:hAnsi="Bodoni 72 Book"/>
                <w:color w:val="FFFFFF" w:themeColor="background1"/>
                <w:sz w:val="22"/>
                <w:szCs w:val="22"/>
                <w:lang w:val="es-ES"/>
              </w:rPr>
              <w:t>Mejores prácticas internacionales</w:t>
            </w:r>
          </w:p>
        </w:tc>
        <w:tc>
          <w:tcPr>
            <w:tcW w:w="2388" w:type="pct"/>
            <w:shd w:val="clear" w:color="auto" w:fill="573B46"/>
          </w:tcPr>
          <w:p w14:paraId="5E6F03B3" w14:textId="77777777" w:rsidR="001A4D55" w:rsidRPr="00910AC5" w:rsidRDefault="001A4D55" w:rsidP="001A4D55">
            <w:pPr>
              <w:jc w:val="center"/>
              <w:rPr>
                <w:rFonts w:ascii="Bodoni 72 Book" w:hAnsi="Bodoni 72 Book"/>
                <w:color w:val="FFFFFF" w:themeColor="background1"/>
                <w:sz w:val="22"/>
                <w:szCs w:val="22"/>
                <w:lang w:val="es-ES"/>
              </w:rPr>
            </w:pPr>
            <w:r w:rsidRPr="00910AC5">
              <w:rPr>
                <w:rFonts w:ascii="Bodoni 72 Book" w:hAnsi="Bodoni 72 Book"/>
                <w:color w:val="FFFFFF" w:themeColor="background1"/>
                <w:sz w:val="22"/>
                <w:szCs w:val="22"/>
                <w:lang w:val="es-ES"/>
              </w:rPr>
              <w:t>Deficiencias/lagunas identificadas</w:t>
            </w:r>
          </w:p>
        </w:tc>
        <w:tc>
          <w:tcPr>
            <w:tcW w:w="2000" w:type="pct"/>
            <w:shd w:val="clear" w:color="auto" w:fill="573B46"/>
          </w:tcPr>
          <w:p w14:paraId="63EDCC8E" w14:textId="77777777" w:rsidR="001A4D55" w:rsidRPr="00910AC5" w:rsidRDefault="001A4D55" w:rsidP="001A4D55">
            <w:pPr>
              <w:jc w:val="center"/>
              <w:rPr>
                <w:rFonts w:ascii="Bodoni 72 Book" w:hAnsi="Bodoni 72 Book"/>
                <w:color w:val="FFFFFF" w:themeColor="background1"/>
                <w:sz w:val="22"/>
                <w:szCs w:val="22"/>
                <w:lang w:val="es-ES"/>
              </w:rPr>
            </w:pPr>
            <w:r w:rsidRPr="00910AC5">
              <w:rPr>
                <w:rFonts w:ascii="Bodoni 72 Book" w:hAnsi="Bodoni 72 Book"/>
                <w:color w:val="FFFFFF" w:themeColor="background1"/>
                <w:sz w:val="22"/>
                <w:szCs w:val="22"/>
                <w:lang w:val="es-ES"/>
              </w:rPr>
              <w:t xml:space="preserve">Recomendaciones </w:t>
            </w:r>
          </w:p>
        </w:tc>
      </w:tr>
      <w:tr w:rsidR="001A4D55" w:rsidRPr="001A4D55" w14:paraId="498BA2AD" w14:textId="77777777" w:rsidTr="001A4D55">
        <w:tc>
          <w:tcPr>
            <w:tcW w:w="612" w:type="pct"/>
            <w:shd w:val="clear" w:color="auto" w:fill="BEA5A2"/>
          </w:tcPr>
          <w:p w14:paraId="200E08FB" w14:textId="50C3D3F9" w:rsidR="001A4D55" w:rsidRPr="001A4D55" w:rsidRDefault="001A4D55" w:rsidP="001A4D55">
            <w:pPr>
              <w:rPr>
                <w:rFonts w:ascii="Avenir Next" w:hAnsi="Avenir Next"/>
                <w:sz w:val="20"/>
                <w:szCs w:val="20"/>
                <w:lang w:val="es-ES"/>
              </w:rPr>
            </w:pPr>
            <w:r w:rsidRPr="001A4D55">
              <w:rPr>
                <w:rFonts w:ascii="Avenir Next" w:hAnsi="Avenir Next" w:cs="Calibri"/>
                <w:color w:val="000000" w:themeColor="text1"/>
                <w:sz w:val="20"/>
                <w:szCs w:val="20"/>
                <w:lang w:val="es-ES"/>
              </w:rPr>
              <w:t>Beneficiarios</w:t>
            </w:r>
          </w:p>
        </w:tc>
        <w:tc>
          <w:tcPr>
            <w:tcW w:w="2388" w:type="pct"/>
          </w:tcPr>
          <w:p w14:paraId="6165D675" w14:textId="77777777" w:rsidR="001A4D55" w:rsidRPr="001A4D55" w:rsidRDefault="001A4D55" w:rsidP="001A4D55">
            <w:pPr>
              <w:rPr>
                <w:szCs w:val="22"/>
                <w:lang w:val="es-ES"/>
              </w:rPr>
            </w:pPr>
          </w:p>
        </w:tc>
        <w:tc>
          <w:tcPr>
            <w:tcW w:w="2000" w:type="pct"/>
          </w:tcPr>
          <w:p w14:paraId="1AE11FBF" w14:textId="77777777" w:rsidR="001A4D55" w:rsidRPr="001A4D55" w:rsidRDefault="001A4D55" w:rsidP="001A4D55">
            <w:pPr>
              <w:rPr>
                <w:rFonts w:cs="Arial"/>
                <w:szCs w:val="22"/>
                <w:lang w:val="es-ES"/>
              </w:rPr>
            </w:pPr>
          </w:p>
        </w:tc>
      </w:tr>
      <w:tr w:rsidR="001A4D55" w:rsidRPr="001A4D55" w14:paraId="24256F4C" w14:textId="77777777" w:rsidTr="001A4D55">
        <w:tc>
          <w:tcPr>
            <w:tcW w:w="612" w:type="pct"/>
            <w:shd w:val="clear" w:color="auto" w:fill="BEA5A2"/>
          </w:tcPr>
          <w:p w14:paraId="73677AFF" w14:textId="03A7D472" w:rsidR="001A4D55" w:rsidRPr="001A4D55" w:rsidRDefault="001A4D55" w:rsidP="001A4D55">
            <w:pPr>
              <w:rPr>
                <w:rFonts w:ascii="Avenir Next" w:hAnsi="Avenir Next" w:cs="Calibri"/>
                <w:iCs/>
                <w:color w:val="000000" w:themeColor="text1"/>
                <w:sz w:val="20"/>
                <w:szCs w:val="20"/>
                <w:lang w:val="es-ES"/>
              </w:rPr>
            </w:pPr>
            <w:r w:rsidRPr="001A4D55">
              <w:rPr>
                <w:rFonts w:ascii="Avenir Next" w:hAnsi="Avenir Next" w:cs="Calibri"/>
                <w:color w:val="000000" w:themeColor="text1"/>
                <w:sz w:val="20"/>
                <w:szCs w:val="20"/>
                <w:lang w:val="es-ES"/>
              </w:rPr>
              <w:t>Incentivos</w:t>
            </w:r>
          </w:p>
        </w:tc>
        <w:tc>
          <w:tcPr>
            <w:tcW w:w="2388" w:type="pct"/>
          </w:tcPr>
          <w:p w14:paraId="6BFD1BB2" w14:textId="77777777" w:rsidR="001A4D55" w:rsidRPr="001A4D55" w:rsidRDefault="001A4D55" w:rsidP="001A4D55">
            <w:pPr>
              <w:rPr>
                <w:szCs w:val="22"/>
                <w:lang w:val="es-ES"/>
              </w:rPr>
            </w:pPr>
          </w:p>
        </w:tc>
        <w:tc>
          <w:tcPr>
            <w:tcW w:w="2000" w:type="pct"/>
          </w:tcPr>
          <w:p w14:paraId="681C6396" w14:textId="77777777" w:rsidR="001A4D55" w:rsidRPr="001A4D55" w:rsidRDefault="001A4D55" w:rsidP="001A4D55">
            <w:pPr>
              <w:rPr>
                <w:szCs w:val="22"/>
                <w:lang w:val="es-ES"/>
              </w:rPr>
            </w:pPr>
          </w:p>
        </w:tc>
      </w:tr>
      <w:tr w:rsidR="001A4D55" w:rsidRPr="001A4D55" w14:paraId="1EC9D336" w14:textId="77777777" w:rsidTr="001A4D55">
        <w:tc>
          <w:tcPr>
            <w:tcW w:w="612" w:type="pct"/>
            <w:shd w:val="clear" w:color="auto" w:fill="BEA5A2"/>
          </w:tcPr>
          <w:p w14:paraId="19E96239" w14:textId="588DDCD9" w:rsidR="001A4D55" w:rsidRPr="001A4D55" w:rsidRDefault="001A4D55" w:rsidP="001A4D55">
            <w:pPr>
              <w:rPr>
                <w:rFonts w:ascii="Avenir Next" w:hAnsi="Avenir Next"/>
                <w:sz w:val="20"/>
                <w:szCs w:val="20"/>
                <w:lang w:val="es-ES"/>
              </w:rPr>
            </w:pPr>
            <w:r w:rsidRPr="001A4D55">
              <w:rPr>
                <w:rFonts w:ascii="Avenir Next" w:hAnsi="Avenir Next" w:cs="Calibri"/>
                <w:color w:val="000000" w:themeColor="text1"/>
                <w:sz w:val="20"/>
                <w:szCs w:val="20"/>
                <w:lang w:val="es-ES"/>
              </w:rPr>
              <w:t>Mecanismos de distribución de beneficios y arquitectura institucional</w:t>
            </w:r>
          </w:p>
        </w:tc>
        <w:tc>
          <w:tcPr>
            <w:tcW w:w="2388" w:type="pct"/>
          </w:tcPr>
          <w:p w14:paraId="612BFF21" w14:textId="77777777" w:rsidR="001A4D55" w:rsidRPr="001A4D55" w:rsidRDefault="001A4D55" w:rsidP="001A4D55">
            <w:pPr>
              <w:rPr>
                <w:szCs w:val="22"/>
                <w:lang w:val="es-ES"/>
              </w:rPr>
            </w:pPr>
          </w:p>
        </w:tc>
        <w:tc>
          <w:tcPr>
            <w:tcW w:w="2000" w:type="pct"/>
          </w:tcPr>
          <w:p w14:paraId="6FE77D96" w14:textId="77777777" w:rsidR="001A4D55" w:rsidRPr="001A4D55" w:rsidRDefault="001A4D55" w:rsidP="001A4D55">
            <w:pPr>
              <w:rPr>
                <w:szCs w:val="22"/>
                <w:lang w:val="es-ES"/>
              </w:rPr>
            </w:pPr>
          </w:p>
        </w:tc>
      </w:tr>
      <w:tr w:rsidR="001A4D55" w:rsidRPr="001A4D55" w14:paraId="4E170C0B" w14:textId="77777777" w:rsidTr="001A4D55">
        <w:tc>
          <w:tcPr>
            <w:tcW w:w="612" w:type="pct"/>
            <w:shd w:val="clear" w:color="auto" w:fill="BEA5A2"/>
          </w:tcPr>
          <w:p w14:paraId="5E941DDB" w14:textId="555E5CF4" w:rsidR="001A4D55" w:rsidRPr="001A4D55" w:rsidRDefault="001A4D55" w:rsidP="001A4D55">
            <w:pPr>
              <w:rPr>
                <w:rFonts w:ascii="Avenir Next" w:hAnsi="Avenir Next"/>
                <w:sz w:val="20"/>
                <w:szCs w:val="20"/>
                <w:lang w:val="es-ES"/>
              </w:rPr>
            </w:pPr>
            <w:r w:rsidRPr="001A4D55">
              <w:rPr>
                <w:rFonts w:ascii="Avenir Next" w:hAnsi="Avenir Next" w:cs="Calibri"/>
                <w:color w:val="000000" w:themeColor="text1"/>
                <w:sz w:val="20"/>
                <w:szCs w:val="20"/>
                <w:lang w:val="es-ES"/>
              </w:rPr>
              <w:t>Monitoreo y evaluación</w:t>
            </w:r>
          </w:p>
        </w:tc>
        <w:tc>
          <w:tcPr>
            <w:tcW w:w="2388" w:type="pct"/>
          </w:tcPr>
          <w:p w14:paraId="26C09D8F" w14:textId="77777777" w:rsidR="001A4D55" w:rsidRPr="001A4D55" w:rsidRDefault="001A4D55" w:rsidP="001A4D55">
            <w:pPr>
              <w:rPr>
                <w:szCs w:val="22"/>
                <w:lang w:val="es-ES"/>
              </w:rPr>
            </w:pPr>
          </w:p>
        </w:tc>
        <w:tc>
          <w:tcPr>
            <w:tcW w:w="2000" w:type="pct"/>
          </w:tcPr>
          <w:p w14:paraId="46693B5C" w14:textId="77777777" w:rsidR="001A4D55" w:rsidRPr="001A4D55" w:rsidRDefault="001A4D55" w:rsidP="001A4D55">
            <w:pPr>
              <w:rPr>
                <w:szCs w:val="22"/>
                <w:lang w:val="es-ES"/>
              </w:rPr>
            </w:pPr>
          </w:p>
        </w:tc>
      </w:tr>
      <w:tr w:rsidR="001A4D55" w:rsidRPr="001A4D55" w14:paraId="353D58C5" w14:textId="77777777" w:rsidTr="001A4D55">
        <w:tc>
          <w:tcPr>
            <w:tcW w:w="612" w:type="pct"/>
            <w:shd w:val="clear" w:color="auto" w:fill="BEA5A2"/>
          </w:tcPr>
          <w:p w14:paraId="00A3A069" w14:textId="2020DA9A" w:rsidR="001A4D55" w:rsidRPr="001A4D55" w:rsidRDefault="001A4D55" w:rsidP="001A4D55">
            <w:pPr>
              <w:rPr>
                <w:rFonts w:ascii="Avenir Next" w:hAnsi="Avenir Next"/>
                <w:sz w:val="20"/>
                <w:szCs w:val="20"/>
                <w:lang w:val="es-ES"/>
              </w:rPr>
            </w:pPr>
            <w:r w:rsidRPr="001A4D55">
              <w:rPr>
                <w:rFonts w:ascii="Avenir Next" w:hAnsi="Avenir Next"/>
                <w:sz w:val="20"/>
                <w:szCs w:val="20"/>
                <w:lang w:val="es-ES"/>
              </w:rPr>
              <w:lastRenderedPageBreak/>
              <w:t>Alineación con la legislación relevante</w:t>
            </w:r>
          </w:p>
        </w:tc>
        <w:tc>
          <w:tcPr>
            <w:tcW w:w="2388" w:type="pct"/>
          </w:tcPr>
          <w:p w14:paraId="5C96058E" w14:textId="77777777" w:rsidR="001A4D55" w:rsidRPr="001A4D55" w:rsidRDefault="001A4D55" w:rsidP="001A4D55">
            <w:pPr>
              <w:rPr>
                <w:szCs w:val="22"/>
                <w:lang w:val="es-ES"/>
              </w:rPr>
            </w:pPr>
          </w:p>
        </w:tc>
        <w:tc>
          <w:tcPr>
            <w:tcW w:w="2000" w:type="pct"/>
          </w:tcPr>
          <w:p w14:paraId="025FEE15" w14:textId="77777777" w:rsidR="001A4D55" w:rsidRPr="001A4D55" w:rsidRDefault="001A4D55" w:rsidP="001A4D55">
            <w:pPr>
              <w:rPr>
                <w:szCs w:val="22"/>
                <w:lang w:val="es-ES"/>
              </w:rPr>
            </w:pPr>
          </w:p>
        </w:tc>
      </w:tr>
      <w:tr w:rsidR="001A4D55" w:rsidRPr="001A4D55" w14:paraId="509343C6" w14:textId="77777777" w:rsidTr="001A4D55">
        <w:tc>
          <w:tcPr>
            <w:tcW w:w="612" w:type="pct"/>
            <w:shd w:val="clear" w:color="auto" w:fill="BEA5A2"/>
          </w:tcPr>
          <w:p w14:paraId="5CC4BED4" w14:textId="276F173F" w:rsidR="001A4D55" w:rsidRPr="001A4D55" w:rsidRDefault="001A4D55" w:rsidP="001A4D55">
            <w:pPr>
              <w:rPr>
                <w:rFonts w:ascii="Avenir Next" w:hAnsi="Avenir Next"/>
                <w:sz w:val="20"/>
                <w:szCs w:val="20"/>
                <w:lang w:val="es-ES"/>
              </w:rPr>
            </w:pPr>
            <w:r w:rsidRPr="001A4D55">
              <w:rPr>
                <w:rFonts w:ascii="Avenir Next" w:hAnsi="Avenir Next"/>
                <w:sz w:val="20"/>
                <w:szCs w:val="20"/>
                <w:lang w:val="es-ES"/>
              </w:rPr>
              <w:t xml:space="preserve">General </w:t>
            </w:r>
          </w:p>
        </w:tc>
        <w:tc>
          <w:tcPr>
            <w:tcW w:w="2388" w:type="pct"/>
          </w:tcPr>
          <w:p w14:paraId="03FF0AFA" w14:textId="77777777" w:rsidR="001A4D55" w:rsidRPr="001A4D55" w:rsidRDefault="001A4D55" w:rsidP="001A4D55">
            <w:pPr>
              <w:rPr>
                <w:szCs w:val="22"/>
                <w:lang w:val="es-ES"/>
              </w:rPr>
            </w:pPr>
          </w:p>
        </w:tc>
        <w:tc>
          <w:tcPr>
            <w:tcW w:w="2000" w:type="pct"/>
          </w:tcPr>
          <w:p w14:paraId="6A54C194" w14:textId="77777777" w:rsidR="001A4D55" w:rsidRPr="001A4D55" w:rsidRDefault="001A4D55" w:rsidP="001A4D55">
            <w:pPr>
              <w:rPr>
                <w:szCs w:val="22"/>
                <w:lang w:val="es-ES"/>
              </w:rPr>
            </w:pPr>
          </w:p>
        </w:tc>
      </w:tr>
    </w:tbl>
    <w:p w14:paraId="66F6A609" w14:textId="77777777" w:rsidR="00F64485" w:rsidRDefault="00000000" w:rsidP="001A4D55">
      <w:pPr>
        <w:spacing w:before="120" w:after="120" w:line="336" w:lineRule="auto"/>
      </w:pPr>
      <w:r>
        <w:rPr>
          <w:rFonts w:ascii="IBM Plex Sans" w:eastAsia="IBM Plex Sans" w:hAnsi="IBM Plex Sans" w:cs="IBM Plex Sans"/>
          <w:color w:val="000000"/>
        </w:rPr>
        <w:t xml:space="preserve"> </w:t>
      </w:r>
    </w:p>
    <w:sectPr w:rsidR="00F64485" w:rsidSect="00BB07B2">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635C5" w14:textId="77777777" w:rsidR="00EF678D" w:rsidRDefault="00EF678D" w:rsidP="00AF20E2">
      <w:r>
        <w:separator/>
      </w:r>
    </w:p>
  </w:endnote>
  <w:endnote w:type="continuationSeparator" w:id="0">
    <w:p w14:paraId="2C12BC68" w14:textId="77777777" w:rsidR="00EF678D" w:rsidRDefault="00EF678D" w:rsidP="00AF2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C29A1202-19C3-C243-B63C-7F01147CAEAC}"/>
  </w:font>
  <w:font w:name="Times New Roman">
    <w:panose1 w:val="02020603050405020304"/>
    <w:charset w:val="00"/>
    <w:family w:val="roman"/>
    <w:pitch w:val="variable"/>
    <w:sig w:usb0="E0002EFF" w:usb1="C000785B" w:usb2="00000009" w:usb3="00000000" w:csb0="000001FF" w:csb1="00000000"/>
    <w:embedRegular r:id="rId2" w:fontKey="{69205830-3134-FA4D-BC13-90C2A2FF981E}"/>
    <w:embedBold r:id="rId3" w:fontKey="{7651831A-E1E4-A648-98F6-6A9459AB1755}"/>
    <w:embedItalic r:id="rId4" w:fontKey="{FA6FA05D-5233-4345-8AB4-838567A77C9B}"/>
  </w:font>
  <w:font w:name="Courier New">
    <w:panose1 w:val="02070309020205020404"/>
    <w:charset w:val="00"/>
    <w:family w:val="modern"/>
    <w:pitch w:val="fixed"/>
    <w:sig w:usb0="E0002EFF" w:usb1="C0007843" w:usb2="00000009" w:usb3="00000000" w:csb0="000001FF" w:csb1="00000000"/>
    <w:embedRegular r:id="rId5" w:fontKey="{A51292A0-4EE2-1A42-BD64-A2D8AA8E5CD8}"/>
  </w:font>
  <w:font w:name="Wingdings">
    <w:panose1 w:val="05000000000000000000"/>
    <w:charset w:val="4D"/>
    <w:family w:val="decorative"/>
    <w:pitch w:val="variable"/>
    <w:sig w:usb0="00000003" w:usb1="00000000" w:usb2="00000000" w:usb3="00000000" w:csb0="80000001" w:csb1="00000000"/>
    <w:embedRegular r:id="rId6" w:fontKey="{990A83AC-3AAE-404C-BBF3-E6C0BC94AFFC}"/>
  </w:font>
  <w:font w:name="Calibri">
    <w:panose1 w:val="020F0502020204030204"/>
    <w:charset w:val="00"/>
    <w:family w:val="swiss"/>
    <w:pitch w:val="variable"/>
    <w:sig w:usb0="E4002EFF" w:usb1="C200247B" w:usb2="00000009" w:usb3="00000000" w:csb0="000001FF" w:csb1="00000000"/>
    <w:embedRegular r:id="rId7" w:fontKey="{F66B620C-28D4-0B44-9376-F0A18C4D5D4F}"/>
    <w:embedBold r:id="rId8" w:fontKey="{112F1DA3-F28F-7444-84D6-E30BCCC00C8B}"/>
    <w:embedItalic r:id="rId9" w:fontKey="{DD838B41-E5E6-0948-B4CD-1BA9A5920D81}"/>
  </w:font>
  <w:font w:name="Bodoni 72 Book">
    <w:altName w:val="BODONI 72 BOOK"/>
    <w:panose1 w:val="00000400000000000000"/>
    <w:charset w:val="00"/>
    <w:family w:val="auto"/>
    <w:pitch w:val="variable"/>
    <w:sig w:usb0="00000003" w:usb1="00000000" w:usb2="00000000" w:usb3="00000000" w:csb0="00000001" w:csb1="00000000"/>
    <w:embedRegular r:id="rId10" w:fontKey="{2621905D-9530-0044-B16A-AE7D7D7C108E}"/>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2" w:fontKey="{78D85AEE-2750-624B-8725-26EB3B379074}"/>
    <w:embedBold r:id="rId13" w:fontKey="{FF3941F0-10AE-9E4A-BDDD-EA6A06E1BCC7}"/>
    <w:embedItalic r:id="rId14" w:fontKey="{82903563-D35E-7148-9406-575301B5605A}"/>
  </w:font>
  <w:font w:name="Montserrat">
    <w:panose1 w:val="00000500000000000000"/>
    <w:charset w:val="4D"/>
    <w:family w:val="auto"/>
    <w:pitch w:val="variable"/>
    <w:sig w:usb0="2000020F" w:usb1="00000003" w:usb2="00000000" w:usb3="00000000" w:csb0="00000197" w:csb1="00000000"/>
    <w:embedRegular r:id="rId15" w:fontKey="{78EEB63F-8BFC-B64C-BDDB-68619D579E84}"/>
  </w:font>
  <w:font w:name="Montserrat Italics">
    <w:panose1 w:val="020B0604020202020204"/>
    <w:charset w:val="00"/>
    <w:family w:val="auto"/>
    <w:pitch w:val="default"/>
  </w:font>
  <w:font w:name="IBM Plex Sans">
    <w:panose1 w:val="020B0503050203000203"/>
    <w:charset w:val="00"/>
    <w:family w:val="swiss"/>
    <w:pitch w:val="variable"/>
    <w:sig w:usb0="A00002EF" w:usb1="5000207B" w:usb2="00000000" w:usb3="00000000" w:csb0="0000019F" w:csb1="00000000"/>
    <w:embedRegular r:id="rId17" w:fontKey="{DFE381A9-FE0B-8945-9D46-C1EE041EBC10}"/>
    <w:embedBold r:id="rId18" w:fontKey="{5E0DCB2B-5CB5-D645-A6DF-9707A214017F}"/>
  </w:font>
  <w:font w:name="IBM Plex Sans Bold">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embedBold r:id="rId20" w:fontKey="{53946F21-47F1-374C-A547-D304B62DED9F}"/>
  </w:font>
  <w:font w:name="Arial">
    <w:panose1 w:val="020B0604020202020204"/>
    <w:charset w:val="00"/>
    <w:family w:val="swiss"/>
    <w:pitch w:val="variable"/>
    <w:sig w:usb0="E0002EFF" w:usb1="C000785B" w:usb2="00000009" w:usb3="00000000" w:csb0="000001FF" w:csb1="00000000"/>
    <w:embedRegular r:id="rId21" w:fontKey="{E7ACD3A1-EC82-8546-A025-6FF9834EDAAC}"/>
  </w:font>
  <w:font w:name="Calibri Light">
    <w:panose1 w:val="020F0302020204030204"/>
    <w:charset w:val="00"/>
    <w:family w:val="swiss"/>
    <w:pitch w:val="variable"/>
    <w:sig w:usb0="E0002AFF" w:usb1="C000247B" w:usb2="00000009" w:usb3="00000000" w:csb0="000001FF" w:csb1="00000000"/>
    <w:embedRegular r:id="rId22" w:fontKey="{6BCC9EBE-6B70-E340-A05B-C1ED655546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92DEB" w14:textId="77777777" w:rsidR="00EF678D" w:rsidRDefault="00EF678D" w:rsidP="00AF20E2">
      <w:r>
        <w:separator/>
      </w:r>
    </w:p>
  </w:footnote>
  <w:footnote w:type="continuationSeparator" w:id="0">
    <w:p w14:paraId="13A61C8D" w14:textId="77777777" w:rsidR="00EF678D" w:rsidRDefault="00EF678D" w:rsidP="00AF20E2">
      <w:r>
        <w:continuationSeparator/>
      </w:r>
    </w:p>
  </w:footnote>
  <w:footnote w:id="1">
    <w:p w14:paraId="2AEC07B3" w14:textId="259ACB4A" w:rsidR="00AF20E2" w:rsidRPr="005A729A" w:rsidRDefault="00AF20E2" w:rsidP="005A729A">
      <w:pPr>
        <w:spacing w:before="120" w:after="120" w:line="336" w:lineRule="auto"/>
        <w:rPr>
          <w:rFonts w:ascii="Avenir Next" w:hAnsi="Avenir Next"/>
          <w:sz w:val="14"/>
          <w:szCs w:val="14"/>
          <w:lang w:val="es-ES"/>
        </w:rPr>
      </w:pPr>
      <w:r w:rsidRPr="005A729A">
        <w:rPr>
          <w:rStyle w:val="FootnoteReference"/>
          <w:rFonts w:ascii="Avenir Next" w:hAnsi="Avenir Next"/>
          <w:sz w:val="14"/>
          <w:szCs w:val="14"/>
        </w:rPr>
        <w:footnoteRef/>
      </w:r>
      <w:r w:rsidRPr="005A729A">
        <w:rPr>
          <w:rFonts w:ascii="Avenir Next" w:hAnsi="Avenir Next"/>
          <w:sz w:val="14"/>
          <w:szCs w:val="14"/>
        </w:rPr>
        <w:t xml:space="preserve"> </w:t>
      </w:r>
      <w:r w:rsidR="005A729A" w:rsidRPr="005A729A">
        <w:rPr>
          <w:rFonts w:ascii="Avenir Next" w:eastAsia="Montserrat" w:hAnsi="Avenir Next" w:cs="Montserrat"/>
          <w:color w:val="000000"/>
          <w:sz w:val="14"/>
          <w:szCs w:val="14"/>
          <w:lang w:val="es-ES"/>
        </w:rPr>
        <w:t xml:space="preserve">WWF, Análisis comparativo de los mecanismos de distribución de beneficios en los programas REDD+, accesible en: </w:t>
      </w:r>
      <w:hyperlink r:id="rId1" w:history="1">
        <w:r w:rsidR="005A729A" w:rsidRPr="005A729A">
          <w:rPr>
            <w:rStyle w:val="Hyperlink"/>
            <w:rFonts w:ascii="Avenir Next" w:hAnsi="Avenir Next"/>
            <w:i/>
            <w:iCs/>
            <w:sz w:val="14"/>
            <w:szCs w:val="14"/>
            <w:lang w:val="en-GB"/>
          </w:rPr>
          <w:t>https://wwfint.awsassets.panda.org/downloads/wwf_assessment_report_redd__programs_v4.pdf</w:t>
        </w:r>
      </w:hyperlink>
      <w:r w:rsidR="005A729A" w:rsidRPr="005A729A">
        <w:rPr>
          <w:rFonts w:ascii="Avenir Next" w:hAnsi="Avenir Next"/>
          <w:i/>
          <w:iCs/>
          <w:sz w:val="14"/>
          <w:szCs w:val="14"/>
          <w:lang w:val="en-GB"/>
        </w:rPr>
        <w:t xml:space="preserve">  </w:t>
      </w:r>
    </w:p>
  </w:footnote>
  <w:footnote w:id="2">
    <w:p w14:paraId="0AD50F5E" w14:textId="7CCFB08F" w:rsidR="005A729A" w:rsidRPr="005A729A" w:rsidRDefault="005A729A" w:rsidP="005A729A">
      <w:pPr>
        <w:spacing w:before="120" w:after="120" w:line="336" w:lineRule="auto"/>
        <w:rPr>
          <w:rFonts w:ascii="Avenir Next" w:eastAsia="Montserrat" w:hAnsi="Avenir Next" w:cs="Montserrat"/>
          <w:color w:val="000000"/>
          <w:sz w:val="14"/>
          <w:szCs w:val="14"/>
          <w:lang w:val="es-ES"/>
        </w:rPr>
      </w:pPr>
      <w:r w:rsidRPr="005A729A">
        <w:rPr>
          <w:rStyle w:val="FootnoteReference"/>
          <w:rFonts w:ascii="Avenir Next" w:hAnsi="Avenir Next"/>
          <w:sz w:val="14"/>
          <w:szCs w:val="14"/>
        </w:rPr>
        <w:footnoteRef/>
      </w:r>
      <w:r w:rsidRPr="005A729A">
        <w:rPr>
          <w:rFonts w:ascii="Avenir Next" w:hAnsi="Avenir Next"/>
          <w:sz w:val="14"/>
          <w:szCs w:val="14"/>
        </w:rPr>
        <w:t xml:space="preserve"> </w:t>
      </w:r>
      <w:r w:rsidRPr="005A729A">
        <w:rPr>
          <w:rFonts w:ascii="Avenir Next" w:eastAsia="Montserrat" w:hAnsi="Avenir Next" w:cs="Montserrat"/>
          <w:color w:val="000000"/>
          <w:sz w:val="14"/>
          <w:szCs w:val="14"/>
          <w:lang w:val="es-ES"/>
        </w:rPr>
        <w:t xml:space="preserve">TNC, Compartiendo los beneficios de REDD+, accesible en: </w:t>
      </w:r>
      <w:hyperlink r:id="rId2" w:history="1">
        <w:r w:rsidRPr="00D90BC4">
          <w:rPr>
            <w:rStyle w:val="Hyperlink"/>
            <w:rFonts w:ascii="Avenir Next" w:eastAsia="Montserrat" w:hAnsi="Avenir Next" w:cs="Montserrat"/>
            <w:sz w:val="14"/>
            <w:szCs w:val="14"/>
            <w:lang w:val="es-ES"/>
          </w:rPr>
          <w:t>https://www.nature.org/content/dam/tnc/nature/en/documents/tnc_benefit%20sharing_web.pdf</w:t>
        </w:r>
      </w:hyperlink>
      <w:r>
        <w:rPr>
          <w:rFonts w:ascii="Avenir Next" w:eastAsia="Montserrat" w:hAnsi="Avenir Next" w:cs="Montserrat"/>
          <w:color w:val="000000"/>
          <w:sz w:val="14"/>
          <w:szCs w:val="14"/>
          <w:lang w:val="es-ES"/>
        </w:rPr>
        <w:t xml:space="preserve"> </w:t>
      </w:r>
    </w:p>
  </w:footnote>
  <w:footnote w:id="3">
    <w:p w14:paraId="39A88132" w14:textId="6273AC83" w:rsidR="005A729A" w:rsidRPr="005A729A" w:rsidRDefault="005A729A" w:rsidP="005A729A">
      <w:pPr>
        <w:spacing w:before="120" w:after="120" w:line="336" w:lineRule="auto"/>
        <w:rPr>
          <w:rFonts w:ascii="Avenir Next" w:hAnsi="Avenir Next"/>
          <w:sz w:val="14"/>
          <w:szCs w:val="14"/>
          <w:lang w:val="es-ES"/>
        </w:rPr>
      </w:pPr>
      <w:r w:rsidRPr="005A729A">
        <w:rPr>
          <w:rStyle w:val="FootnoteReference"/>
          <w:rFonts w:ascii="Avenir Next" w:hAnsi="Avenir Next"/>
          <w:sz w:val="14"/>
          <w:szCs w:val="14"/>
        </w:rPr>
        <w:footnoteRef/>
      </w:r>
      <w:r w:rsidRPr="005A729A">
        <w:rPr>
          <w:rFonts w:ascii="Avenir Next" w:hAnsi="Avenir Next"/>
          <w:sz w:val="14"/>
          <w:szCs w:val="14"/>
        </w:rPr>
        <w:t xml:space="preserve"> </w:t>
      </w:r>
      <w:r w:rsidRPr="005A729A">
        <w:rPr>
          <w:rFonts w:ascii="Avenir Next" w:eastAsia="Montserrat" w:hAnsi="Avenir Next" w:cs="Montserrat"/>
          <w:color w:val="000000"/>
          <w:sz w:val="14"/>
          <w:szCs w:val="14"/>
          <w:lang w:val="es-ES"/>
        </w:rPr>
        <w:t xml:space="preserve">CIFOR, Diseñando mecanismos de distribución de beneficios en REDD+: de la política a la práctica, accesible en: </w:t>
      </w:r>
      <w:hyperlink r:id="rId3" w:history="1">
        <w:r w:rsidRPr="00D90BC4">
          <w:rPr>
            <w:rStyle w:val="Hyperlink"/>
            <w:rFonts w:ascii="Avenir Next" w:eastAsia="Montserrat" w:hAnsi="Avenir Next" w:cs="Montserrat"/>
            <w:sz w:val="14"/>
            <w:szCs w:val="14"/>
            <w:lang w:val="es-ES"/>
          </w:rPr>
          <w:t>https://www.cifor.org/publications/pdf_files/Books/REDD-Benefit-Sharing.pdf</w:t>
        </w:r>
      </w:hyperlink>
      <w:r>
        <w:rPr>
          <w:rFonts w:ascii="Avenir Next" w:eastAsia="Montserrat" w:hAnsi="Avenir Next" w:cs="Montserrat"/>
          <w:color w:val="000000"/>
          <w:sz w:val="14"/>
          <w:szCs w:val="14"/>
          <w:lang w:val="es-ES"/>
        </w:rPr>
        <w:t xml:space="preserve"> </w:t>
      </w:r>
    </w:p>
  </w:footnote>
  <w:footnote w:id="4">
    <w:p w14:paraId="1001FAB6" w14:textId="5ABF298D" w:rsidR="005A729A" w:rsidRPr="005A729A" w:rsidRDefault="005A729A">
      <w:pPr>
        <w:pStyle w:val="FootnoteText"/>
        <w:rPr>
          <w:rFonts w:ascii="Avenir Next" w:hAnsi="Avenir Next"/>
          <w:sz w:val="14"/>
          <w:szCs w:val="14"/>
          <w:lang w:val="en-GB"/>
        </w:rPr>
      </w:pPr>
      <w:r w:rsidRPr="005A729A">
        <w:rPr>
          <w:rStyle w:val="FootnoteReference"/>
          <w:rFonts w:ascii="Avenir Next" w:hAnsi="Avenir Next"/>
          <w:sz w:val="14"/>
          <w:szCs w:val="14"/>
        </w:rPr>
        <w:footnoteRef/>
      </w:r>
      <w:r w:rsidRPr="005A729A">
        <w:rPr>
          <w:rFonts w:ascii="Avenir Next" w:hAnsi="Avenir Next"/>
          <w:sz w:val="14"/>
          <w:szCs w:val="14"/>
        </w:rPr>
        <w:t xml:space="preserve"> </w:t>
      </w:r>
      <w:r w:rsidRPr="005A729A">
        <w:rPr>
          <w:rFonts w:ascii="Avenir Next" w:hAnsi="Avenir Next"/>
          <w:i/>
          <w:iCs/>
          <w:sz w:val="14"/>
          <w:szCs w:val="14"/>
          <w:lang w:val="en-GB"/>
        </w:rPr>
        <w:t>Ibid</w:t>
      </w:r>
    </w:p>
  </w:footnote>
  <w:footnote w:id="5">
    <w:p w14:paraId="3753DA0D" w14:textId="63E81CD6" w:rsidR="00AF20E2" w:rsidRPr="00FD6AB5" w:rsidRDefault="00AF20E2">
      <w:pPr>
        <w:pStyle w:val="FootnoteText"/>
        <w:rPr>
          <w:rFonts w:ascii="Avenir Next" w:hAnsi="Avenir Next"/>
          <w:sz w:val="14"/>
          <w:szCs w:val="14"/>
          <w:lang w:val="es-ES"/>
        </w:rPr>
      </w:pPr>
      <w:r w:rsidRPr="005A729A">
        <w:rPr>
          <w:rStyle w:val="FootnoteReference"/>
          <w:rFonts w:ascii="Avenir Next" w:hAnsi="Avenir Next"/>
          <w:sz w:val="14"/>
          <w:szCs w:val="14"/>
          <w:lang w:val="es-ES"/>
        </w:rPr>
        <w:footnoteRef/>
      </w:r>
      <w:r w:rsidRPr="005A729A">
        <w:rPr>
          <w:rFonts w:ascii="Avenir Next" w:hAnsi="Avenir Next"/>
          <w:sz w:val="14"/>
          <w:szCs w:val="14"/>
          <w:lang w:val="es-ES"/>
        </w:rPr>
        <w:t xml:space="preserve"> Más detalles en: PwC. 2012. </w:t>
      </w:r>
      <w:proofErr w:type="spellStart"/>
      <w:r w:rsidRPr="005A729A">
        <w:rPr>
          <w:rFonts w:ascii="Avenir Next" w:hAnsi="Avenir Next"/>
          <w:i/>
          <w:iCs/>
          <w:sz w:val="14"/>
          <w:szCs w:val="14"/>
          <w:lang w:val="es-ES"/>
        </w:rPr>
        <w:t>Assessing</w:t>
      </w:r>
      <w:proofErr w:type="spellEnd"/>
      <w:r w:rsidRPr="005A729A">
        <w:rPr>
          <w:rFonts w:ascii="Avenir Next" w:hAnsi="Avenir Next"/>
          <w:i/>
          <w:iCs/>
          <w:sz w:val="14"/>
          <w:szCs w:val="14"/>
          <w:lang w:val="es-ES"/>
        </w:rPr>
        <w:t xml:space="preserve"> </w:t>
      </w:r>
      <w:proofErr w:type="spellStart"/>
      <w:r w:rsidRPr="005A729A">
        <w:rPr>
          <w:rFonts w:ascii="Avenir Next" w:hAnsi="Avenir Next"/>
          <w:i/>
          <w:iCs/>
          <w:sz w:val="14"/>
          <w:szCs w:val="14"/>
          <w:lang w:val="es-ES"/>
        </w:rPr>
        <w:t>Options</w:t>
      </w:r>
      <w:proofErr w:type="spellEnd"/>
      <w:r w:rsidRPr="005A729A">
        <w:rPr>
          <w:rFonts w:ascii="Avenir Next" w:hAnsi="Avenir Next"/>
          <w:i/>
          <w:iCs/>
          <w:sz w:val="14"/>
          <w:szCs w:val="14"/>
          <w:lang w:val="es-ES"/>
        </w:rPr>
        <w:t xml:space="preserve"> </w:t>
      </w:r>
      <w:proofErr w:type="spellStart"/>
      <w:r w:rsidRPr="005A729A">
        <w:rPr>
          <w:rFonts w:ascii="Avenir Next" w:hAnsi="Avenir Next"/>
          <w:i/>
          <w:iCs/>
          <w:sz w:val="14"/>
          <w:szCs w:val="14"/>
          <w:lang w:val="es-ES"/>
        </w:rPr>
        <w:t>for</w:t>
      </w:r>
      <w:proofErr w:type="spellEnd"/>
      <w:r w:rsidRPr="005A729A">
        <w:rPr>
          <w:rFonts w:ascii="Avenir Next" w:hAnsi="Avenir Next"/>
          <w:i/>
          <w:iCs/>
          <w:sz w:val="14"/>
          <w:szCs w:val="14"/>
          <w:lang w:val="es-ES"/>
        </w:rPr>
        <w:t xml:space="preserve"> </w:t>
      </w:r>
      <w:proofErr w:type="spellStart"/>
      <w:r w:rsidRPr="005A729A">
        <w:rPr>
          <w:rFonts w:ascii="Avenir Next" w:hAnsi="Avenir Next"/>
          <w:i/>
          <w:iCs/>
          <w:sz w:val="14"/>
          <w:szCs w:val="14"/>
          <w:lang w:val="es-ES"/>
        </w:rPr>
        <w:t>Effective</w:t>
      </w:r>
      <w:proofErr w:type="spellEnd"/>
      <w:r w:rsidRPr="005A729A">
        <w:rPr>
          <w:rFonts w:ascii="Avenir Next" w:hAnsi="Avenir Next"/>
          <w:i/>
          <w:iCs/>
          <w:sz w:val="14"/>
          <w:szCs w:val="14"/>
          <w:lang w:val="es-ES"/>
        </w:rPr>
        <w:t xml:space="preserve"> </w:t>
      </w:r>
      <w:proofErr w:type="spellStart"/>
      <w:r w:rsidRPr="005A729A">
        <w:rPr>
          <w:rFonts w:ascii="Avenir Next" w:hAnsi="Avenir Next"/>
          <w:i/>
          <w:iCs/>
          <w:sz w:val="14"/>
          <w:szCs w:val="14"/>
          <w:lang w:val="es-ES"/>
        </w:rPr>
        <w:t>Mechanisms</w:t>
      </w:r>
      <w:proofErr w:type="spellEnd"/>
      <w:r w:rsidRPr="005A729A">
        <w:rPr>
          <w:rFonts w:ascii="Avenir Next" w:hAnsi="Avenir Next"/>
          <w:i/>
          <w:iCs/>
          <w:sz w:val="14"/>
          <w:szCs w:val="14"/>
          <w:lang w:val="es-ES"/>
        </w:rPr>
        <w:t xml:space="preserve"> </w:t>
      </w:r>
      <w:proofErr w:type="spellStart"/>
      <w:r w:rsidRPr="005A729A">
        <w:rPr>
          <w:rFonts w:ascii="Avenir Next" w:hAnsi="Avenir Next"/>
          <w:i/>
          <w:iCs/>
          <w:sz w:val="14"/>
          <w:szCs w:val="14"/>
          <w:lang w:val="es-ES"/>
        </w:rPr>
        <w:t>to</w:t>
      </w:r>
      <w:proofErr w:type="spellEnd"/>
      <w:r w:rsidRPr="005A729A">
        <w:rPr>
          <w:rFonts w:ascii="Avenir Next" w:hAnsi="Avenir Next"/>
          <w:i/>
          <w:iCs/>
          <w:sz w:val="14"/>
          <w:szCs w:val="14"/>
          <w:lang w:val="es-ES"/>
        </w:rPr>
        <w:t xml:space="preserve"> Share </w:t>
      </w:r>
      <w:proofErr w:type="spellStart"/>
      <w:r w:rsidRPr="005A729A">
        <w:rPr>
          <w:rFonts w:ascii="Avenir Next" w:hAnsi="Avenir Next"/>
          <w:i/>
          <w:iCs/>
          <w:sz w:val="14"/>
          <w:szCs w:val="14"/>
          <w:lang w:val="es-ES"/>
        </w:rPr>
        <w:t>Benefits</w:t>
      </w:r>
      <w:proofErr w:type="spellEnd"/>
      <w:r w:rsidRPr="005A729A">
        <w:rPr>
          <w:rFonts w:ascii="Avenir Next" w:hAnsi="Avenir Next"/>
          <w:i/>
          <w:iCs/>
          <w:sz w:val="14"/>
          <w:szCs w:val="14"/>
          <w:lang w:val="es-ES"/>
        </w:rPr>
        <w:t xml:space="preserve">: </w:t>
      </w:r>
      <w:proofErr w:type="spellStart"/>
      <w:r w:rsidRPr="005A729A">
        <w:rPr>
          <w:rFonts w:ascii="Avenir Next" w:hAnsi="Avenir Next"/>
          <w:i/>
          <w:iCs/>
          <w:sz w:val="14"/>
          <w:szCs w:val="14"/>
          <w:lang w:val="es-ES"/>
        </w:rPr>
        <w:t>Insights</w:t>
      </w:r>
      <w:proofErr w:type="spellEnd"/>
      <w:r w:rsidRPr="005A729A">
        <w:rPr>
          <w:rFonts w:ascii="Avenir Next" w:hAnsi="Avenir Next"/>
          <w:i/>
          <w:iCs/>
          <w:sz w:val="14"/>
          <w:szCs w:val="14"/>
          <w:lang w:val="es-ES"/>
        </w:rPr>
        <w:t xml:space="preserve"> </w:t>
      </w:r>
      <w:proofErr w:type="spellStart"/>
      <w:r w:rsidRPr="005A729A">
        <w:rPr>
          <w:rFonts w:ascii="Avenir Next" w:hAnsi="Avenir Next"/>
          <w:i/>
          <w:iCs/>
          <w:sz w:val="14"/>
          <w:szCs w:val="14"/>
          <w:lang w:val="es-ES"/>
        </w:rPr>
        <w:t>for</w:t>
      </w:r>
      <w:proofErr w:type="spellEnd"/>
      <w:r w:rsidRPr="005A729A">
        <w:rPr>
          <w:rFonts w:ascii="Avenir Next" w:hAnsi="Avenir Next"/>
          <w:i/>
          <w:iCs/>
          <w:sz w:val="14"/>
          <w:szCs w:val="14"/>
          <w:lang w:val="es-ES"/>
        </w:rPr>
        <w:t xml:space="preserve"> REDD+ </w:t>
      </w:r>
      <w:proofErr w:type="spellStart"/>
      <w:r w:rsidRPr="005A729A">
        <w:rPr>
          <w:rFonts w:ascii="Avenir Next" w:hAnsi="Avenir Next"/>
          <w:i/>
          <w:iCs/>
          <w:sz w:val="14"/>
          <w:szCs w:val="14"/>
          <w:lang w:val="es-ES"/>
        </w:rPr>
        <w:t>Initiatives</w:t>
      </w:r>
      <w:proofErr w:type="spellEnd"/>
      <w:r w:rsidRPr="005A729A">
        <w:rPr>
          <w:rFonts w:ascii="Avenir Next" w:hAnsi="Avenir Next"/>
          <w:i/>
          <w:iCs/>
          <w:sz w:val="14"/>
          <w:szCs w:val="14"/>
          <w:lang w:val="es-ES"/>
        </w:rPr>
        <w:t xml:space="preserve">. </w:t>
      </w:r>
      <w:r w:rsidRPr="005A729A">
        <w:rPr>
          <w:rFonts w:ascii="Avenir Next" w:hAnsi="Avenir Next"/>
          <w:sz w:val="14"/>
          <w:szCs w:val="14"/>
          <w:lang w:val="es-ES"/>
        </w:rPr>
        <w:t>Washington, DC: Programa sobre Bosques (PROFOR)</w:t>
      </w:r>
    </w:p>
  </w:footnote>
  <w:footnote w:id="6">
    <w:p w14:paraId="06BD8700" w14:textId="77777777" w:rsidR="00AF20E2" w:rsidRPr="00FD6AB5" w:rsidRDefault="00AF20E2" w:rsidP="00AF20E2">
      <w:pPr>
        <w:pStyle w:val="FootnoteText"/>
        <w:rPr>
          <w:rFonts w:ascii="Avenir Next" w:hAnsi="Avenir Next"/>
          <w:sz w:val="14"/>
          <w:szCs w:val="14"/>
          <w:lang w:val="es-ES"/>
        </w:rPr>
      </w:pPr>
      <w:r w:rsidRPr="00FD6AB5">
        <w:rPr>
          <w:rStyle w:val="FootnoteReference"/>
          <w:rFonts w:ascii="Avenir Next" w:hAnsi="Avenir Next"/>
          <w:sz w:val="14"/>
          <w:szCs w:val="14"/>
          <w:lang w:val="es-ES"/>
        </w:rPr>
        <w:footnoteRef/>
      </w:r>
      <w:r w:rsidRPr="00FD6AB5">
        <w:rPr>
          <w:rFonts w:ascii="Avenir Next" w:hAnsi="Avenir Next"/>
          <w:sz w:val="14"/>
          <w:szCs w:val="14"/>
          <w:lang w:val="es-ES"/>
        </w:rPr>
        <w:t xml:space="preserve"> Nota: las barreras podrían incluir inaccesibilidad física, barreras idiomáticas, necesidades especiales, características de grupos vulnerables o marginados, entre otras.</w:t>
      </w:r>
    </w:p>
  </w:footnote>
  <w:footnote w:id="7">
    <w:p w14:paraId="43D06896" w14:textId="2FDB5554" w:rsidR="00AF20E2" w:rsidRPr="00FD6AB5" w:rsidRDefault="00AF20E2" w:rsidP="00FD6AB5">
      <w:pPr>
        <w:rPr>
          <w:rFonts w:ascii="Avenir Next" w:hAnsi="Avenir Next"/>
          <w:sz w:val="14"/>
          <w:szCs w:val="14"/>
          <w:lang w:val="es-ES"/>
        </w:rPr>
      </w:pPr>
      <w:r w:rsidRPr="00FD6AB5">
        <w:rPr>
          <w:rStyle w:val="FootnoteReference"/>
          <w:rFonts w:ascii="Avenir Next" w:hAnsi="Avenir Next"/>
          <w:sz w:val="14"/>
          <w:szCs w:val="14"/>
          <w:lang w:val="es-ES"/>
        </w:rPr>
        <w:footnoteRef/>
      </w:r>
      <w:r w:rsidRPr="00FD6AB5">
        <w:rPr>
          <w:rFonts w:ascii="Avenir Next" w:hAnsi="Avenir Next"/>
          <w:sz w:val="14"/>
          <w:szCs w:val="14"/>
          <w:lang w:val="es-ES"/>
        </w:rPr>
        <w:t xml:space="preserve"> Nota: Tenga en cuenta que los incentivos no monetarios pueden incluir bienes, servicios u otros que proporcionen un incentivo directo a los beneficiarios para ayudar a implementar la </w:t>
      </w:r>
      <w:proofErr w:type="spellStart"/>
      <w:r w:rsidRPr="00FD6AB5">
        <w:rPr>
          <w:rFonts w:ascii="Avenir Next" w:hAnsi="Avenir Next"/>
          <w:sz w:val="14"/>
          <w:szCs w:val="14"/>
          <w:lang w:val="es-ES"/>
        </w:rPr>
        <w:t>PaM</w:t>
      </w:r>
      <w:proofErr w:type="spellEnd"/>
      <w:r w:rsidRPr="00FD6AB5">
        <w:rPr>
          <w:rFonts w:ascii="Avenir Next" w:hAnsi="Avenir Next"/>
          <w:sz w:val="14"/>
          <w:szCs w:val="14"/>
          <w:lang w:val="es-ES"/>
        </w:rPr>
        <w:t xml:space="preserve"> y que puedan ser monitoreados de manera objetiva (por ejemplo, asistencia técnica, desarrollo de capacidades, aplicación de la ley, e insumos en especie o inversiones como plántulas, equipos, edificios, etc.). Tenga en cuenta que los beneficios monetarios normalmente implican transacciones monetarias a un grupo determinado de beneficiarios que compensan los esfuerzos y contribuciones de partes interesadas seleccionadas involucradas en la implementación de la </w:t>
      </w:r>
      <w:proofErr w:type="spellStart"/>
      <w:r w:rsidRPr="00FD6AB5">
        <w:rPr>
          <w:rFonts w:ascii="Avenir Next" w:hAnsi="Avenir Next"/>
          <w:sz w:val="14"/>
          <w:szCs w:val="14"/>
          <w:lang w:val="es-ES"/>
        </w:rPr>
        <w:t>PaM</w:t>
      </w:r>
      <w:proofErr w:type="spellEnd"/>
      <w:r w:rsidRPr="00FD6AB5">
        <w:rPr>
          <w:rFonts w:ascii="Avenir Next" w:hAnsi="Avenir Next"/>
          <w:sz w:val="14"/>
          <w:szCs w:val="14"/>
          <w:lang w:val="es-ES"/>
        </w:rPr>
        <w:t>. Los beneficios monetarios a veces también se denominan pagos en efectivo, que pueden basarse o no en el desempeño.</w:t>
      </w:r>
    </w:p>
  </w:footnote>
  <w:footnote w:id="8">
    <w:p w14:paraId="2D490AE0" w14:textId="77777777" w:rsidR="00AF20E2" w:rsidRDefault="00AF20E2" w:rsidP="00AF20E2">
      <w:pPr>
        <w:pStyle w:val="FootnoteText"/>
      </w:pPr>
      <w:r w:rsidRPr="00FD6AB5">
        <w:rPr>
          <w:rStyle w:val="FootnoteReference"/>
          <w:rFonts w:ascii="Avenir Next" w:hAnsi="Avenir Next"/>
          <w:sz w:val="14"/>
          <w:szCs w:val="14"/>
          <w:lang w:val="es-ES"/>
        </w:rPr>
        <w:footnoteRef/>
      </w:r>
      <w:r w:rsidRPr="00FD6AB5">
        <w:rPr>
          <w:rFonts w:ascii="Avenir Next" w:hAnsi="Avenir Next"/>
          <w:sz w:val="14"/>
          <w:szCs w:val="14"/>
          <w:lang w:val="es-ES"/>
        </w:rPr>
        <w:t xml:space="preserve"> Nota: La asignación podría incluir consideraciones a nivel vertical -diferentes niveles de gobierno-, horizontal -entre comunidades, hogares- o según resultados alcanzados, esfuerzo realizado o cualquier otra consideración o necesidad.</w:t>
      </w:r>
    </w:p>
  </w:footnote>
  <w:footnote w:id="9">
    <w:p w14:paraId="6632F8AF" w14:textId="77777777" w:rsidR="00AF20E2" w:rsidRPr="00FD6AB5" w:rsidRDefault="00AF20E2" w:rsidP="00AF20E2">
      <w:pPr>
        <w:pStyle w:val="FootnoteText"/>
        <w:rPr>
          <w:rFonts w:ascii="Avenir Next" w:hAnsi="Avenir Next"/>
          <w:sz w:val="14"/>
          <w:szCs w:val="14"/>
          <w:lang w:val="es-ES"/>
        </w:rPr>
      </w:pPr>
      <w:r w:rsidRPr="00FD6AB5">
        <w:rPr>
          <w:rStyle w:val="FootnoteReference"/>
          <w:rFonts w:ascii="Avenir Next" w:hAnsi="Avenir Next"/>
          <w:sz w:val="14"/>
          <w:szCs w:val="14"/>
          <w:lang w:val="es-ES"/>
        </w:rPr>
        <w:footnoteRef/>
      </w:r>
      <w:r w:rsidRPr="00FD6AB5">
        <w:rPr>
          <w:rFonts w:ascii="Avenir Next" w:hAnsi="Avenir Next"/>
          <w:sz w:val="14"/>
          <w:szCs w:val="14"/>
          <w:lang w:val="es-ES"/>
        </w:rPr>
        <w:t xml:space="preserve"> </w:t>
      </w:r>
      <w:r w:rsidRPr="00FD6AB5">
        <w:rPr>
          <w:rFonts w:ascii="Avenir Next" w:eastAsia="Calibri" w:hAnsi="Avenir Next" w:cs="Arial"/>
          <w:sz w:val="14"/>
          <w:szCs w:val="14"/>
          <w:lang w:val="es-ES"/>
        </w:rPr>
        <w:t>Nota: la toma de decisiones podría asignarse en procesos actuales como comités directivos, plataformas interinstitucionales de toma de decisiones, u otros. Las estructuras necesarias para recibir, gestionar y desembolsar fondos podrían incluir instituciones existentes como ministerios, fondos, entre otros.</w:t>
      </w:r>
    </w:p>
  </w:footnote>
  <w:footnote w:id="10">
    <w:p w14:paraId="4C7B2C16" w14:textId="77777777" w:rsidR="00AF20E2" w:rsidRPr="00FD6AB5" w:rsidRDefault="00AF20E2" w:rsidP="00AF20E2">
      <w:pPr>
        <w:pStyle w:val="FootnoteText"/>
        <w:rPr>
          <w:rFonts w:ascii="Avenir Next" w:hAnsi="Avenir Next"/>
          <w:sz w:val="14"/>
          <w:szCs w:val="14"/>
          <w:lang w:val="es-ES"/>
        </w:rPr>
      </w:pPr>
      <w:r w:rsidRPr="00FD6AB5">
        <w:rPr>
          <w:rStyle w:val="FootnoteReference"/>
          <w:rFonts w:ascii="Avenir Next" w:hAnsi="Avenir Next"/>
          <w:sz w:val="14"/>
          <w:szCs w:val="14"/>
          <w:lang w:val="es-ES"/>
        </w:rPr>
        <w:footnoteRef/>
      </w:r>
      <w:r w:rsidRPr="00FD6AB5">
        <w:rPr>
          <w:rFonts w:ascii="Avenir Next" w:hAnsi="Avenir Next"/>
          <w:sz w:val="14"/>
          <w:szCs w:val="14"/>
          <w:lang w:val="es-ES"/>
        </w:rPr>
        <w:t xml:space="preserve"> Nota: La alineación podría implicar utilizar mecanismos e instituciones actuales para operar o crear otros nuevos de acuerdo con los planes y legislaciones.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4303"/>
    <w:multiLevelType w:val="hybridMultilevel"/>
    <w:tmpl w:val="0A4C7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1378C"/>
    <w:multiLevelType w:val="hybridMultilevel"/>
    <w:tmpl w:val="58925006"/>
    <w:lvl w:ilvl="0" w:tplc="5C769EAC">
      <w:start w:val="1"/>
      <w:numFmt w:val="bullet"/>
      <w:lvlText w:val=""/>
      <w:lvlJc w:val="left"/>
      <w:pPr>
        <w:ind w:left="400" w:hanging="360"/>
      </w:pPr>
      <w:rPr>
        <w:rFonts w:ascii="Symbol" w:hAnsi="Symbol"/>
      </w:rPr>
    </w:lvl>
    <w:lvl w:ilvl="1" w:tplc="9494907C">
      <w:start w:val="1"/>
      <w:numFmt w:val="bullet"/>
      <w:lvlText w:val="o"/>
      <w:lvlJc w:val="left"/>
      <w:pPr>
        <w:ind w:left="800" w:hanging="360"/>
      </w:pPr>
      <w:rPr>
        <w:rFonts w:ascii="Courier New" w:hAnsi="Courier New"/>
      </w:rPr>
    </w:lvl>
    <w:lvl w:ilvl="2" w:tplc="83E4377A">
      <w:start w:val="1"/>
      <w:numFmt w:val="bullet"/>
      <w:lvlText w:val=""/>
      <w:lvlJc w:val="left"/>
      <w:pPr>
        <w:ind w:left="1200" w:hanging="360"/>
      </w:pPr>
      <w:rPr>
        <w:rFonts w:ascii="Wingdings" w:hAnsi="Wingdings"/>
      </w:rPr>
    </w:lvl>
    <w:lvl w:ilvl="3" w:tplc="8DAED1CC">
      <w:start w:val="1"/>
      <w:numFmt w:val="bullet"/>
      <w:lvlText w:val=""/>
      <w:lvlJc w:val="left"/>
      <w:pPr>
        <w:ind w:left="1600" w:hanging="360"/>
      </w:pPr>
      <w:rPr>
        <w:rFonts w:ascii="Symbol" w:hAnsi="Symbol"/>
      </w:rPr>
    </w:lvl>
    <w:lvl w:ilvl="4" w:tplc="2D9296CC">
      <w:start w:val="1"/>
      <w:numFmt w:val="bullet"/>
      <w:lvlText w:val="o"/>
      <w:lvlJc w:val="left"/>
      <w:pPr>
        <w:ind w:left="2000" w:hanging="360"/>
      </w:pPr>
      <w:rPr>
        <w:rFonts w:ascii="Courier New" w:hAnsi="Courier New"/>
      </w:rPr>
    </w:lvl>
    <w:lvl w:ilvl="5" w:tplc="977AB450">
      <w:start w:val="1"/>
      <w:numFmt w:val="bullet"/>
      <w:lvlText w:val=""/>
      <w:lvlJc w:val="left"/>
      <w:pPr>
        <w:ind w:left="2400" w:hanging="360"/>
      </w:pPr>
      <w:rPr>
        <w:rFonts w:ascii="Wingdings" w:hAnsi="Wingdings"/>
      </w:rPr>
    </w:lvl>
    <w:lvl w:ilvl="6" w:tplc="0B62EFBE">
      <w:start w:val="1"/>
      <w:numFmt w:val="bullet"/>
      <w:lvlText w:val=""/>
      <w:lvlJc w:val="left"/>
      <w:pPr>
        <w:ind w:left="2800" w:hanging="360"/>
      </w:pPr>
      <w:rPr>
        <w:rFonts w:ascii="Symbol" w:hAnsi="Symbol"/>
      </w:rPr>
    </w:lvl>
    <w:lvl w:ilvl="7" w:tplc="CBA04F5A">
      <w:start w:val="1"/>
      <w:numFmt w:val="bullet"/>
      <w:lvlText w:val="o"/>
      <w:lvlJc w:val="left"/>
      <w:pPr>
        <w:ind w:left="3200" w:hanging="360"/>
      </w:pPr>
      <w:rPr>
        <w:rFonts w:ascii="Courier New" w:hAnsi="Courier New"/>
      </w:rPr>
    </w:lvl>
    <w:lvl w:ilvl="8" w:tplc="8EFA7F88">
      <w:numFmt w:val="decimal"/>
      <w:lvlText w:val=""/>
      <w:lvlJc w:val="left"/>
    </w:lvl>
  </w:abstractNum>
  <w:abstractNum w:abstractNumId="2" w15:restartNumberingAfterBreak="0">
    <w:nsid w:val="14B93D76"/>
    <w:multiLevelType w:val="hybridMultilevel"/>
    <w:tmpl w:val="5498E560"/>
    <w:lvl w:ilvl="0" w:tplc="58FAE420">
      <w:start w:val="1"/>
      <w:numFmt w:val="bullet"/>
      <w:lvlText w:val=""/>
      <w:lvlJc w:val="left"/>
      <w:pPr>
        <w:ind w:left="400" w:hanging="360"/>
      </w:pPr>
      <w:rPr>
        <w:rFonts w:ascii="Symbol" w:hAnsi="Symbol"/>
      </w:rPr>
    </w:lvl>
    <w:lvl w:ilvl="1" w:tplc="44CA6DCC">
      <w:start w:val="1"/>
      <w:numFmt w:val="bullet"/>
      <w:lvlText w:val="o"/>
      <w:lvlJc w:val="left"/>
      <w:pPr>
        <w:ind w:left="800" w:hanging="360"/>
      </w:pPr>
      <w:rPr>
        <w:rFonts w:ascii="Courier New" w:hAnsi="Courier New"/>
      </w:rPr>
    </w:lvl>
    <w:lvl w:ilvl="2" w:tplc="B492C3F0">
      <w:start w:val="1"/>
      <w:numFmt w:val="bullet"/>
      <w:lvlText w:val=""/>
      <w:lvlJc w:val="left"/>
      <w:pPr>
        <w:ind w:left="1200" w:hanging="360"/>
      </w:pPr>
      <w:rPr>
        <w:rFonts w:ascii="Wingdings" w:hAnsi="Wingdings"/>
      </w:rPr>
    </w:lvl>
    <w:lvl w:ilvl="3" w:tplc="4F7CABF0">
      <w:start w:val="1"/>
      <w:numFmt w:val="bullet"/>
      <w:lvlText w:val=""/>
      <w:lvlJc w:val="left"/>
      <w:pPr>
        <w:ind w:left="1600" w:hanging="360"/>
      </w:pPr>
      <w:rPr>
        <w:rFonts w:ascii="Symbol" w:hAnsi="Symbol"/>
      </w:rPr>
    </w:lvl>
    <w:lvl w:ilvl="4" w:tplc="993881D0">
      <w:start w:val="1"/>
      <w:numFmt w:val="bullet"/>
      <w:lvlText w:val="o"/>
      <w:lvlJc w:val="left"/>
      <w:pPr>
        <w:ind w:left="2000" w:hanging="360"/>
      </w:pPr>
      <w:rPr>
        <w:rFonts w:ascii="Courier New" w:hAnsi="Courier New"/>
      </w:rPr>
    </w:lvl>
    <w:lvl w:ilvl="5" w:tplc="78E44FF4">
      <w:start w:val="1"/>
      <w:numFmt w:val="bullet"/>
      <w:lvlText w:val=""/>
      <w:lvlJc w:val="left"/>
      <w:pPr>
        <w:ind w:left="2400" w:hanging="360"/>
      </w:pPr>
      <w:rPr>
        <w:rFonts w:ascii="Wingdings" w:hAnsi="Wingdings"/>
      </w:rPr>
    </w:lvl>
    <w:lvl w:ilvl="6" w:tplc="9B463BD0">
      <w:start w:val="1"/>
      <w:numFmt w:val="bullet"/>
      <w:lvlText w:val=""/>
      <w:lvlJc w:val="left"/>
      <w:pPr>
        <w:ind w:left="2800" w:hanging="360"/>
      </w:pPr>
      <w:rPr>
        <w:rFonts w:ascii="Symbol" w:hAnsi="Symbol"/>
      </w:rPr>
    </w:lvl>
    <w:lvl w:ilvl="7" w:tplc="08760EF2">
      <w:start w:val="1"/>
      <w:numFmt w:val="bullet"/>
      <w:lvlText w:val="o"/>
      <w:lvlJc w:val="left"/>
      <w:pPr>
        <w:ind w:left="3200" w:hanging="360"/>
      </w:pPr>
      <w:rPr>
        <w:rFonts w:ascii="Courier New" w:hAnsi="Courier New"/>
      </w:rPr>
    </w:lvl>
    <w:lvl w:ilvl="8" w:tplc="9EFA85AC">
      <w:numFmt w:val="decimal"/>
      <w:lvlText w:val=""/>
      <w:lvlJc w:val="left"/>
    </w:lvl>
  </w:abstractNum>
  <w:abstractNum w:abstractNumId="3" w15:restartNumberingAfterBreak="0">
    <w:nsid w:val="2D9C7FD5"/>
    <w:multiLevelType w:val="hybridMultilevel"/>
    <w:tmpl w:val="DD70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002F5"/>
    <w:multiLevelType w:val="hybridMultilevel"/>
    <w:tmpl w:val="372C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31B3C"/>
    <w:multiLevelType w:val="hybridMultilevel"/>
    <w:tmpl w:val="06C06088"/>
    <w:lvl w:ilvl="0" w:tplc="97A29CEA">
      <w:start w:val="1"/>
      <w:numFmt w:val="bullet"/>
      <w:lvlText w:val=""/>
      <w:lvlJc w:val="left"/>
      <w:pPr>
        <w:ind w:left="400" w:hanging="360"/>
      </w:pPr>
      <w:rPr>
        <w:rFonts w:ascii="Symbol" w:hAnsi="Symbol"/>
      </w:rPr>
    </w:lvl>
    <w:lvl w:ilvl="1" w:tplc="247E836C">
      <w:start w:val="1"/>
      <w:numFmt w:val="bullet"/>
      <w:lvlText w:val="o"/>
      <w:lvlJc w:val="left"/>
      <w:pPr>
        <w:ind w:left="800" w:hanging="360"/>
      </w:pPr>
      <w:rPr>
        <w:rFonts w:ascii="Courier New" w:hAnsi="Courier New"/>
      </w:rPr>
    </w:lvl>
    <w:lvl w:ilvl="2" w:tplc="5C62874C">
      <w:start w:val="1"/>
      <w:numFmt w:val="bullet"/>
      <w:lvlText w:val=""/>
      <w:lvlJc w:val="left"/>
      <w:pPr>
        <w:ind w:left="1200" w:hanging="360"/>
      </w:pPr>
      <w:rPr>
        <w:rFonts w:ascii="Wingdings" w:hAnsi="Wingdings"/>
      </w:rPr>
    </w:lvl>
    <w:lvl w:ilvl="3" w:tplc="0FCA0B58">
      <w:start w:val="1"/>
      <w:numFmt w:val="bullet"/>
      <w:lvlText w:val=""/>
      <w:lvlJc w:val="left"/>
      <w:pPr>
        <w:ind w:left="1600" w:hanging="360"/>
      </w:pPr>
      <w:rPr>
        <w:rFonts w:ascii="Symbol" w:hAnsi="Symbol"/>
      </w:rPr>
    </w:lvl>
    <w:lvl w:ilvl="4" w:tplc="92DA387E">
      <w:start w:val="1"/>
      <w:numFmt w:val="bullet"/>
      <w:lvlText w:val="o"/>
      <w:lvlJc w:val="left"/>
      <w:pPr>
        <w:ind w:left="2000" w:hanging="360"/>
      </w:pPr>
      <w:rPr>
        <w:rFonts w:ascii="Courier New" w:hAnsi="Courier New"/>
      </w:rPr>
    </w:lvl>
    <w:lvl w:ilvl="5" w:tplc="8FFE9F72">
      <w:start w:val="1"/>
      <w:numFmt w:val="bullet"/>
      <w:lvlText w:val=""/>
      <w:lvlJc w:val="left"/>
      <w:pPr>
        <w:ind w:left="2400" w:hanging="360"/>
      </w:pPr>
      <w:rPr>
        <w:rFonts w:ascii="Wingdings" w:hAnsi="Wingdings"/>
      </w:rPr>
    </w:lvl>
    <w:lvl w:ilvl="6" w:tplc="77FEC372">
      <w:start w:val="1"/>
      <w:numFmt w:val="bullet"/>
      <w:lvlText w:val=""/>
      <w:lvlJc w:val="left"/>
      <w:pPr>
        <w:ind w:left="2800" w:hanging="360"/>
      </w:pPr>
      <w:rPr>
        <w:rFonts w:ascii="Symbol" w:hAnsi="Symbol"/>
      </w:rPr>
    </w:lvl>
    <w:lvl w:ilvl="7" w:tplc="62DC0ED4">
      <w:start w:val="1"/>
      <w:numFmt w:val="bullet"/>
      <w:lvlText w:val="o"/>
      <w:lvlJc w:val="left"/>
      <w:pPr>
        <w:ind w:left="3200" w:hanging="360"/>
      </w:pPr>
      <w:rPr>
        <w:rFonts w:ascii="Courier New" w:hAnsi="Courier New"/>
      </w:rPr>
    </w:lvl>
    <w:lvl w:ilvl="8" w:tplc="52249B3A">
      <w:numFmt w:val="decimal"/>
      <w:lvlText w:val=""/>
      <w:lvlJc w:val="left"/>
    </w:lvl>
  </w:abstractNum>
  <w:abstractNum w:abstractNumId="6" w15:restartNumberingAfterBreak="0">
    <w:nsid w:val="317E71C5"/>
    <w:multiLevelType w:val="hybridMultilevel"/>
    <w:tmpl w:val="DCA2CC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 w15:restartNumberingAfterBreak="0">
    <w:nsid w:val="33D07FD8"/>
    <w:multiLevelType w:val="hybridMultilevel"/>
    <w:tmpl w:val="CCFED26E"/>
    <w:lvl w:ilvl="0" w:tplc="7456605A">
      <w:start w:val="1"/>
      <w:numFmt w:val="bullet"/>
      <w:lvlText w:val=""/>
      <w:lvlJc w:val="left"/>
      <w:pPr>
        <w:ind w:left="400" w:hanging="360"/>
      </w:pPr>
      <w:rPr>
        <w:rFonts w:ascii="Symbol" w:hAnsi="Symbol"/>
      </w:rPr>
    </w:lvl>
    <w:lvl w:ilvl="1" w:tplc="F2DED918">
      <w:start w:val="1"/>
      <w:numFmt w:val="bullet"/>
      <w:lvlText w:val="o"/>
      <w:lvlJc w:val="left"/>
      <w:pPr>
        <w:ind w:left="800" w:hanging="360"/>
      </w:pPr>
      <w:rPr>
        <w:rFonts w:ascii="Courier New" w:hAnsi="Courier New"/>
      </w:rPr>
    </w:lvl>
    <w:lvl w:ilvl="2" w:tplc="08064478">
      <w:start w:val="1"/>
      <w:numFmt w:val="bullet"/>
      <w:lvlText w:val=""/>
      <w:lvlJc w:val="left"/>
      <w:pPr>
        <w:ind w:left="1200" w:hanging="360"/>
      </w:pPr>
      <w:rPr>
        <w:rFonts w:ascii="Wingdings" w:hAnsi="Wingdings"/>
      </w:rPr>
    </w:lvl>
    <w:lvl w:ilvl="3" w:tplc="367E03F4">
      <w:start w:val="1"/>
      <w:numFmt w:val="bullet"/>
      <w:lvlText w:val=""/>
      <w:lvlJc w:val="left"/>
      <w:pPr>
        <w:ind w:left="1600" w:hanging="360"/>
      </w:pPr>
      <w:rPr>
        <w:rFonts w:ascii="Symbol" w:hAnsi="Symbol"/>
      </w:rPr>
    </w:lvl>
    <w:lvl w:ilvl="4" w:tplc="EFFC349E">
      <w:start w:val="1"/>
      <w:numFmt w:val="bullet"/>
      <w:lvlText w:val="o"/>
      <w:lvlJc w:val="left"/>
      <w:pPr>
        <w:ind w:left="2000" w:hanging="360"/>
      </w:pPr>
      <w:rPr>
        <w:rFonts w:ascii="Courier New" w:hAnsi="Courier New"/>
      </w:rPr>
    </w:lvl>
    <w:lvl w:ilvl="5" w:tplc="EA02151C">
      <w:start w:val="1"/>
      <w:numFmt w:val="bullet"/>
      <w:lvlText w:val=""/>
      <w:lvlJc w:val="left"/>
      <w:pPr>
        <w:ind w:left="2400" w:hanging="360"/>
      </w:pPr>
      <w:rPr>
        <w:rFonts w:ascii="Wingdings" w:hAnsi="Wingdings"/>
      </w:rPr>
    </w:lvl>
    <w:lvl w:ilvl="6" w:tplc="27A4247C">
      <w:start w:val="1"/>
      <w:numFmt w:val="bullet"/>
      <w:lvlText w:val=""/>
      <w:lvlJc w:val="left"/>
      <w:pPr>
        <w:ind w:left="2800" w:hanging="360"/>
      </w:pPr>
      <w:rPr>
        <w:rFonts w:ascii="Symbol" w:hAnsi="Symbol"/>
      </w:rPr>
    </w:lvl>
    <w:lvl w:ilvl="7" w:tplc="330CAEAC">
      <w:start w:val="1"/>
      <w:numFmt w:val="bullet"/>
      <w:lvlText w:val="o"/>
      <w:lvlJc w:val="left"/>
      <w:pPr>
        <w:ind w:left="3200" w:hanging="360"/>
      </w:pPr>
      <w:rPr>
        <w:rFonts w:ascii="Courier New" w:hAnsi="Courier New"/>
      </w:rPr>
    </w:lvl>
    <w:lvl w:ilvl="8" w:tplc="AA6A1DDA">
      <w:numFmt w:val="decimal"/>
      <w:lvlText w:val=""/>
      <w:lvlJc w:val="left"/>
    </w:lvl>
  </w:abstractNum>
  <w:abstractNum w:abstractNumId="8" w15:restartNumberingAfterBreak="0">
    <w:nsid w:val="591D03D6"/>
    <w:multiLevelType w:val="hybridMultilevel"/>
    <w:tmpl w:val="A5F406F8"/>
    <w:lvl w:ilvl="0" w:tplc="B574B252">
      <w:start w:val="1"/>
      <w:numFmt w:val="bullet"/>
      <w:lvlText w:val=""/>
      <w:lvlJc w:val="left"/>
      <w:pPr>
        <w:ind w:left="400" w:hanging="360"/>
      </w:pPr>
      <w:rPr>
        <w:rFonts w:ascii="Symbol" w:hAnsi="Symbol"/>
      </w:rPr>
    </w:lvl>
    <w:lvl w:ilvl="1" w:tplc="6BAC1B9A">
      <w:start w:val="1"/>
      <w:numFmt w:val="bullet"/>
      <w:lvlText w:val="o"/>
      <w:lvlJc w:val="left"/>
      <w:pPr>
        <w:ind w:left="800" w:hanging="360"/>
      </w:pPr>
      <w:rPr>
        <w:rFonts w:ascii="Courier New" w:hAnsi="Courier New"/>
      </w:rPr>
    </w:lvl>
    <w:lvl w:ilvl="2" w:tplc="390E1E0E">
      <w:start w:val="1"/>
      <w:numFmt w:val="bullet"/>
      <w:lvlText w:val=""/>
      <w:lvlJc w:val="left"/>
      <w:pPr>
        <w:ind w:left="1200" w:hanging="360"/>
      </w:pPr>
      <w:rPr>
        <w:rFonts w:ascii="Wingdings" w:hAnsi="Wingdings"/>
      </w:rPr>
    </w:lvl>
    <w:lvl w:ilvl="3" w:tplc="5BC8887C">
      <w:start w:val="1"/>
      <w:numFmt w:val="bullet"/>
      <w:lvlText w:val=""/>
      <w:lvlJc w:val="left"/>
      <w:pPr>
        <w:ind w:left="1600" w:hanging="360"/>
      </w:pPr>
      <w:rPr>
        <w:rFonts w:ascii="Symbol" w:hAnsi="Symbol"/>
      </w:rPr>
    </w:lvl>
    <w:lvl w:ilvl="4" w:tplc="8A987F40">
      <w:start w:val="1"/>
      <w:numFmt w:val="bullet"/>
      <w:lvlText w:val="o"/>
      <w:lvlJc w:val="left"/>
      <w:pPr>
        <w:ind w:left="2000" w:hanging="360"/>
      </w:pPr>
      <w:rPr>
        <w:rFonts w:ascii="Courier New" w:hAnsi="Courier New"/>
      </w:rPr>
    </w:lvl>
    <w:lvl w:ilvl="5" w:tplc="2AFC5276">
      <w:start w:val="1"/>
      <w:numFmt w:val="bullet"/>
      <w:lvlText w:val=""/>
      <w:lvlJc w:val="left"/>
      <w:pPr>
        <w:ind w:left="2400" w:hanging="360"/>
      </w:pPr>
      <w:rPr>
        <w:rFonts w:ascii="Wingdings" w:hAnsi="Wingdings"/>
      </w:rPr>
    </w:lvl>
    <w:lvl w:ilvl="6" w:tplc="DF4645FA">
      <w:start w:val="1"/>
      <w:numFmt w:val="bullet"/>
      <w:lvlText w:val=""/>
      <w:lvlJc w:val="left"/>
      <w:pPr>
        <w:ind w:left="2800" w:hanging="360"/>
      </w:pPr>
      <w:rPr>
        <w:rFonts w:ascii="Symbol" w:hAnsi="Symbol"/>
      </w:rPr>
    </w:lvl>
    <w:lvl w:ilvl="7" w:tplc="DF0C94C2">
      <w:start w:val="1"/>
      <w:numFmt w:val="bullet"/>
      <w:lvlText w:val="o"/>
      <w:lvlJc w:val="left"/>
      <w:pPr>
        <w:ind w:left="3200" w:hanging="360"/>
      </w:pPr>
      <w:rPr>
        <w:rFonts w:ascii="Courier New" w:hAnsi="Courier New"/>
      </w:rPr>
    </w:lvl>
    <w:lvl w:ilvl="8" w:tplc="3FEA4706">
      <w:numFmt w:val="decimal"/>
      <w:lvlText w:val=""/>
      <w:lvlJc w:val="left"/>
    </w:lvl>
  </w:abstractNum>
  <w:abstractNum w:abstractNumId="9" w15:restartNumberingAfterBreak="0">
    <w:nsid w:val="5DC767B6"/>
    <w:multiLevelType w:val="hybridMultilevel"/>
    <w:tmpl w:val="F71A5B0C"/>
    <w:lvl w:ilvl="0" w:tplc="4F862128">
      <w:start w:val="1"/>
      <w:numFmt w:val="bullet"/>
      <w:lvlText w:val=""/>
      <w:lvlJc w:val="left"/>
      <w:pPr>
        <w:ind w:left="400" w:hanging="360"/>
      </w:pPr>
      <w:rPr>
        <w:rFonts w:ascii="Symbol" w:hAnsi="Symbol"/>
      </w:rPr>
    </w:lvl>
    <w:lvl w:ilvl="1" w:tplc="6BF4E868">
      <w:start w:val="1"/>
      <w:numFmt w:val="bullet"/>
      <w:lvlText w:val="o"/>
      <w:lvlJc w:val="left"/>
      <w:pPr>
        <w:ind w:left="800" w:hanging="360"/>
      </w:pPr>
      <w:rPr>
        <w:rFonts w:ascii="Courier New" w:hAnsi="Courier New"/>
      </w:rPr>
    </w:lvl>
    <w:lvl w:ilvl="2" w:tplc="8B6AC800">
      <w:start w:val="1"/>
      <w:numFmt w:val="bullet"/>
      <w:lvlText w:val=""/>
      <w:lvlJc w:val="left"/>
      <w:pPr>
        <w:ind w:left="1200" w:hanging="360"/>
      </w:pPr>
      <w:rPr>
        <w:rFonts w:ascii="Wingdings" w:hAnsi="Wingdings"/>
      </w:rPr>
    </w:lvl>
    <w:lvl w:ilvl="3" w:tplc="54B86A0E">
      <w:start w:val="1"/>
      <w:numFmt w:val="bullet"/>
      <w:lvlText w:val=""/>
      <w:lvlJc w:val="left"/>
      <w:pPr>
        <w:ind w:left="1600" w:hanging="360"/>
      </w:pPr>
      <w:rPr>
        <w:rFonts w:ascii="Symbol" w:hAnsi="Symbol"/>
      </w:rPr>
    </w:lvl>
    <w:lvl w:ilvl="4" w:tplc="21703540">
      <w:start w:val="1"/>
      <w:numFmt w:val="bullet"/>
      <w:lvlText w:val="o"/>
      <w:lvlJc w:val="left"/>
      <w:pPr>
        <w:ind w:left="2000" w:hanging="360"/>
      </w:pPr>
      <w:rPr>
        <w:rFonts w:ascii="Courier New" w:hAnsi="Courier New"/>
      </w:rPr>
    </w:lvl>
    <w:lvl w:ilvl="5" w:tplc="36583EF6">
      <w:start w:val="1"/>
      <w:numFmt w:val="bullet"/>
      <w:lvlText w:val=""/>
      <w:lvlJc w:val="left"/>
      <w:pPr>
        <w:ind w:left="2400" w:hanging="360"/>
      </w:pPr>
      <w:rPr>
        <w:rFonts w:ascii="Wingdings" w:hAnsi="Wingdings"/>
      </w:rPr>
    </w:lvl>
    <w:lvl w:ilvl="6" w:tplc="AFF25DE8">
      <w:start w:val="1"/>
      <w:numFmt w:val="bullet"/>
      <w:lvlText w:val=""/>
      <w:lvlJc w:val="left"/>
      <w:pPr>
        <w:ind w:left="2800" w:hanging="360"/>
      </w:pPr>
      <w:rPr>
        <w:rFonts w:ascii="Symbol" w:hAnsi="Symbol"/>
      </w:rPr>
    </w:lvl>
    <w:lvl w:ilvl="7" w:tplc="21B6B576">
      <w:start w:val="1"/>
      <w:numFmt w:val="bullet"/>
      <w:lvlText w:val="o"/>
      <w:lvlJc w:val="left"/>
      <w:pPr>
        <w:ind w:left="3200" w:hanging="360"/>
      </w:pPr>
      <w:rPr>
        <w:rFonts w:ascii="Courier New" w:hAnsi="Courier New"/>
      </w:rPr>
    </w:lvl>
    <w:lvl w:ilvl="8" w:tplc="165E91F0">
      <w:numFmt w:val="decimal"/>
      <w:lvlText w:val=""/>
      <w:lvlJc w:val="left"/>
    </w:lvl>
  </w:abstractNum>
  <w:abstractNum w:abstractNumId="10" w15:restartNumberingAfterBreak="0">
    <w:nsid w:val="63853030"/>
    <w:multiLevelType w:val="hybridMultilevel"/>
    <w:tmpl w:val="DF16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26306C"/>
    <w:multiLevelType w:val="hybridMultilevel"/>
    <w:tmpl w:val="9BE4E2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63486D"/>
    <w:multiLevelType w:val="hybridMultilevel"/>
    <w:tmpl w:val="6C40489E"/>
    <w:lvl w:ilvl="0" w:tplc="41826468">
      <w:start w:val="1"/>
      <w:numFmt w:val="bullet"/>
      <w:lvlText w:val=""/>
      <w:lvlJc w:val="left"/>
      <w:pPr>
        <w:ind w:left="400" w:hanging="360"/>
      </w:pPr>
      <w:rPr>
        <w:rFonts w:ascii="Symbol" w:hAnsi="Symbol"/>
      </w:rPr>
    </w:lvl>
    <w:lvl w:ilvl="1" w:tplc="67A6D4B0">
      <w:start w:val="1"/>
      <w:numFmt w:val="bullet"/>
      <w:lvlText w:val="o"/>
      <w:lvlJc w:val="left"/>
      <w:pPr>
        <w:ind w:left="800" w:hanging="360"/>
      </w:pPr>
      <w:rPr>
        <w:rFonts w:ascii="Courier New" w:hAnsi="Courier New"/>
      </w:rPr>
    </w:lvl>
    <w:lvl w:ilvl="2" w:tplc="F0101DD0">
      <w:start w:val="1"/>
      <w:numFmt w:val="bullet"/>
      <w:lvlText w:val=""/>
      <w:lvlJc w:val="left"/>
      <w:pPr>
        <w:ind w:left="1200" w:hanging="360"/>
      </w:pPr>
      <w:rPr>
        <w:rFonts w:ascii="Wingdings" w:hAnsi="Wingdings"/>
      </w:rPr>
    </w:lvl>
    <w:lvl w:ilvl="3" w:tplc="34644420">
      <w:start w:val="1"/>
      <w:numFmt w:val="bullet"/>
      <w:lvlText w:val=""/>
      <w:lvlJc w:val="left"/>
      <w:pPr>
        <w:ind w:left="1600" w:hanging="360"/>
      </w:pPr>
      <w:rPr>
        <w:rFonts w:ascii="Symbol" w:hAnsi="Symbol"/>
      </w:rPr>
    </w:lvl>
    <w:lvl w:ilvl="4" w:tplc="0B6C9B10">
      <w:start w:val="1"/>
      <w:numFmt w:val="bullet"/>
      <w:lvlText w:val="o"/>
      <w:lvlJc w:val="left"/>
      <w:pPr>
        <w:ind w:left="2000" w:hanging="360"/>
      </w:pPr>
      <w:rPr>
        <w:rFonts w:ascii="Courier New" w:hAnsi="Courier New"/>
      </w:rPr>
    </w:lvl>
    <w:lvl w:ilvl="5" w:tplc="5950BA92">
      <w:start w:val="1"/>
      <w:numFmt w:val="bullet"/>
      <w:lvlText w:val=""/>
      <w:lvlJc w:val="left"/>
      <w:pPr>
        <w:ind w:left="2400" w:hanging="360"/>
      </w:pPr>
      <w:rPr>
        <w:rFonts w:ascii="Wingdings" w:hAnsi="Wingdings"/>
      </w:rPr>
    </w:lvl>
    <w:lvl w:ilvl="6" w:tplc="2AB82D8E">
      <w:start w:val="1"/>
      <w:numFmt w:val="bullet"/>
      <w:lvlText w:val=""/>
      <w:lvlJc w:val="left"/>
      <w:pPr>
        <w:ind w:left="2800" w:hanging="360"/>
      </w:pPr>
      <w:rPr>
        <w:rFonts w:ascii="Symbol" w:hAnsi="Symbol"/>
      </w:rPr>
    </w:lvl>
    <w:lvl w:ilvl="7" w:tplc="FB3243B8">
      <w:start w:val="1"/>
      <w:numFmt w:val="bullet"/>
      <w:lvlText w:val="o"/>
      <w:lvlJc w:val="left"/>
      <w:pPr>
        <w:ind w:left="3200" w:hanging="360"/>
      </w:pPr>
      <w:rPr>
        <w:rFonts w:ascii="Courier New" w:hAnsi="Courier New"/>
      </w:rPr>
    </w:lvl>
    <w:lvl w:ilvl="8" w:tplc="4F46A2C0">
      <w:numFmt w:val="decimal"/>
      <w:lvlText w:val=""/>
      <w:lvlJc w:val="left"/>
    </w:lvl>
  </w:abstractNum>
  <w:abstractNum w:abstractNumId="13" w15:restartNumberingAfterBreak="0">
    <w:nsid w:val="65A37222"/>
    <w:multiLevelType w:val="hybridMultilevel"/>
    <w:tmpl w:val="90103158"/>
    <w:lvl w:ilvl="0" w:tplc="8A74F1FC">
      <w:start w:val="1"/>
      <w:numFmt w:val="bullet"/>
      <w:lvlText w:val=""/>
      <w:lvlJc w:val="left"/>
      <w:pPr>
        <w:ind w:left="400" w:hanging="360"/>
      </w:pPr>
      <w:rPr>
        <w:rFonts w:ascii="Symbol" w:hAnsi="Symbol"/>
      </w:rPr>
    </w:lvl>
    <w:lvl w:ilvl="1" w:tplc="0B14539A">
      <w:start w:val="1"/>
      <w:numFmt w:val="bullet"/>
      <w:lvlText w:val="o"/>
      <w:lvlJc w:val="left"/>
      <w:pPr>
        <w:ind w:left="800" w:hanging="360"/>
      </w:pPr>
      <w:rPr>
        <w:rFonts w:ascii="Courier New" w:hAnsi="Courier New"/>
      </w:rPr>
    </w:lvl>
    <w:lvl w:ilvl="2" w:tplc="B90C8166">
      <w:start w:val="1"/>
      <w:numFmt w:val="bullet"/>
      <w:lvlText w:val=""/>
      <w:lvlJc w:val="left"/>
      <w:pPr>
        <w:ind w:left="1200" w:hanging="360"/>
      </w:pPr>
      <w:rPr>
        <w:rFonts w:ascii="Wingdings" w:hAnsi="Wingdings"/>
      </w:rPr>
    </w:lvl>
    <w:lvl w:ilvl="3" w:tplc="C004CCAC">
      <w:start w:val="1"/>
      <w:numFmt w:val="bullet"/>
      <w:lvlText w:val=""/>
      <w:lvlJc w:val="left"/>
      <w:pPr>
        <w:ind w:left="1600" w:hanging="360"/>
      </w:pPr>
      <w:rPr>
        <w:rFonts w:ascii="Symbol" w:hAnsi="Symbol"/>
      </w:rPr>
    </w:lvl>
    <w:lvl w:ilvl="4" w:tplc="871EF302">
      <w:start w:val="1"/>
      <w:numFmt w:val="bullet"/>
      <w:lvlText w:val="o"/>
      <w:lvlJc w:val="left"/>
      <w:pPr>
        <w:ind w:left="2000" w:hanging="360"/>
      </w:pPr>
      <w:rPr>
        <w:rFonts w:ascii="Courier New" w:hAnsi="Courier New"/>
      </w:rPr>
    </w:lvl>
    <w:lvl w:ilvl="5" w:tplc="4CE8B45A">
      <w:start w:val="1"/>
      <w:numFmt w:val="bullet"/>
      <w:lvlText w:val=""/>
      <w:lvlJc w:val="left"/>
      <w:pPr>
        <w:ind w:left="2400" w:hanging="360"/>
      </w:pPr>
      <w:rPr>
        <w:rFonts w:ascii="Wingdings" w:hAnsi="Wingdings"/>
      </w:rPr>
    </w:lvl>
    <w:lvl w:ilvl="6" w:tplc="8ECA8436">
      <w:start w:val="1"/>
      <w:numFmt w:val="bullet"/>
      <w:lvlText w:val=""/>
      <w:lvlJc w:val="left"/>
      <w:pPr>
        <w:ind w:left="2800" w:hanging="360"/>
      </w:pPr>
      <w:rPr>
        <w:rFonts w:ascii="Symbol" w:hAnsi="Symbol"/>
      </w:rPr>
    </w:lvl>
    <w:lvl w:ilvl="7" w:tplc="6F5C8028">
      <w:start w:val="1"/>
      <w:numFmt w:val="bullet"/>
      <w:lvlText w:val="o"/>
      <w:lvlJc w:val="left"/>
      <w:pPr>
        <w:ind w:left="3200" w:hanging="360"/>
      </w:pPr>
      <w:rPr>
        <w:rFonts w:ascii="Courier New" w:hAnsi="Courier New"/>
      </w:rPr>
    </w:lvl>
    <w:lvl w:ilvl="8" w:tplc="106ECF7A">
      <w:numFmt w:val="decimal"/>
      <w:lvlText w:val=""/>
      <w:lvlJc w:val="left"/>
    </w:lvl>
  </w:abstractNum>
  <w:abstractNum w:abstractNumId="14" w15:restartNumberingAfterBreak="0">
    <w:nsid w:val="6EF160D7"/>
    <w:multiLevelType w:val="hybridMultilevel"/>
    <w:tmpl w:val="CE40E664"/>
    <w:lvl w:ilvl="0" w:tplc="1D7EAABC">
      <w:start w:val="1"/>
      <w:numFmt w:val="bullet"/>
      <w:lvlText w:val=""/>
      <w:lvlJc w:val="left"/>
      <w:pPr>
        <w:ind w:left="400" w:hanging="360"/>
      </w:pPr>
      <w:rPr>
        <w:rFonts w:ascii="Symbol" w:hAnsi="Symbol"/>
      </w:rPr>
    </w:lvl>
    <w:lvl w:ilvl="1" w:tplc="6476830A">
      <w:start w:val="1"/>
      <w:numFmt w:val="bullet"/>
      <w:lvlText w:val="o"/>
      <w:lvlJc w:val="left"/>
      <w:pPr>
        <w:ind w:left="800" w:hanging="360"/>
      </w:pPr>
      <w:rPr>
        <w:rFonts w:ascii="Courier New" w:hAnsi="Courier New"/>
      </w:rPr>
    </w:lvl>
    <w:lvl w:ilvl="2" w:tplc="B8E6C092">
      <w:start w:val="1"/>
      <w:numFmt w:val="bullet"/>
      <w:lvlText w:val=""/>
      <w:lvlJc w:val="left"/>
      <w:pPr>
        <w:ind w:left="1200" w:hanging="360"/>
      </w:pPr>
      <w:rPr>
        <w:rFonts w:ascii="Wingdings" w:hAnsi="Wingdings"/>
      </w:rPr>
    </w:lvl>
    <w:lvl w:ilvl="3" w:tplc="37985554">
      <w:start w:val="1"/>
      <w:numFmt w:val="bullet"/>
      <w:lvlText w:val=""/>
      <w:lvlJc w:val="left"/>
      <w:pPr>
        <w:ind w:left="1600" w:hanging="360"/>
      </w:pPr>
      <w:rPr>
        <w:rFonts w:ascii="Symbol" w:hAnsi="Symbol"/>
      </w:rPr>
    </w:lvl>
    <w:lvl w:ilvl="4" w:tplc="D48A35F2">
      <w:start w:val="1"/>
      <w:numFmt w:val="bullet"/>
      <w:lvlText w:val="o"/>
      <w:lvlJc w:val="left"/>
      <w:pPr>
        <w:ind w:left="2000" w:hanging="360"/>
      </w:pPr>
      <w:rPr>
        <w:rFonts w:ascii="Courier New" w:hAnsi="Courier New"/>
      </w:rPr>
    </w:lvl>
    <w:lvl w:ilvl="5" w:tplc="FAC29D42">
      <w:start w:val="1"/>
      <w:numFmt w:val="bullet"/>
      <w:lvlText w:val=""/>
      <w:lvlJc w:val="left"/>
      <w:pPr>
        <w:ind w:left="2400" w:hanging="360"/>
      </w:pPr>
      <w:rPr>
        <w:rFonts w:ascii="Wingdings" w:hAnsi="Wingdings"/>
      </w:rPr>
    </w:lvl>
    <w:lvl w:ilvl="6" w:tplc="684CB4BC">
      <w:start w:val="1"/>
      <w:numFmt w:val="bullet"/>
      <w:lvlText w:val=""/>
      <w:lvlJc w:val="left"/>
      <w:pPr>
        <w:ind w:left="2800" w:hanging="360"/>
      </w:pPr>
      <w:rPr>
        <w:rFonts w:ascii="Symbol" w:hAnsi="Symbol"/>
      </w:rPr>
    </w:lvl>
    <w:lvl w:ilvl="7" w:tplc="47060934">
      <w:start w:val="1"/>
      <w:numFmt w:val="bullet"/>
      <w:lvlText w:val="o"/>
      <w:lvlJc w:val="left"/>
      <w:pPr>
        <w:ind w:left="3200" w:hanging="360"/>
      </w:pPr>
      <w:rPr>
        <w:rFonts w:ascii="Courier New" w:hAnsi="Courier New"/>
      </w:rPr>
    </w:lvl>
    <w:lvl w:ilvl="8" w:tplc="4AD08576">
      <w:numFmt w:val="decimal"/>
      <w:lvlText w:val=""/>
      <w:lvlJc w:val="left"/>
    </w:lvl>
  </w:abstractNum>
  <w:abstractNum w:abstractNumId="15" w15:restartNumberingAfterBreak="0">
    <w:nsid w:val="74C156B8"/>
    <w:multiLevelType w:val="hybridMultilevel"/>
    <w:tmpl w:val="250EE8A0"/>
    <w:lvl w:ilvl="0" w:tplc="F3B06020">
      <w:start w:val="1"/>
      <w:numFmt w:val="decimal"/>
      <w:lvlText w:val="%1."/>
      <w:lvlJc w:val="left"/>
      <w:pPr>
        <w:ind w:left="400" w:hanging="360"/>
      </w:pPr>
    </w:lvl>
    <w:lvl w:ilvl="1" w:tplc="08E0D65E">
      <w:start w:val="1"/>
      <w:numFmt w:val="lowerLetter"/>
      <w:lvlText w:val="%2."/>
      <w:lvlJc w:val="left"/>
      <w:pPr>
        <w:ind w:left="800" w:hanging="360"/>
      </w:pPr>
    </w:lvl>
    <w:lvl w:ilvl="2" w:tplc="7F44F16C">
      <w:start w:val="1"/>
      <w:numFmt w:val="lowerRoman"/>
      <w:lvlText w:val="%3."/>
      <w:lvlJc w:val="right"/>
      <w:pPr>
        <w:ind w:left="1200" w:hanging="180"/>
      </w:pPr>
    </w:lvl>
    <w:lvl w:ilvl="3" w:tplc="7E4A4024">
      <w:start w:val="1"/>
      <w:numFmt w:val="decimal"/>
      <w:lvlText w:val="%4."/>
      <w:lvlJc w:val="left"/>
      <w:pPr>
        <w:ind w:left="1600" w:hanging="360"/>
      </w:pPr>
    </w:lvl>
    <w:lvl w:ilvl="4" w:tplc="14185276">
      <w:start w:val="1"/>
      <w:numFmt w:val="lowerLetter"/>
      <w:lvlText w:val="%5."/>
      <w:lvlJc w:val="left"/>
      <w:pPr>
        <w:ind w:left="2000" w:hanging="360"/>
      </w:pPr>
    </w:lvl>
    <w:lvl w:ilvl="5" w:tplc="E328F6E2">
      <w:start w:val="1"/>
      <w:numFmt w:val="lowerRoman"/>
      <w:lvlText w:val="%6."/>
      <w:lvlJc w:val="right"/>
      <w:pPr>
        <w:ind w:left="2400" w:hanging="180"/>
      </w:pPr>
    </w:lvl>
    <w:lvl w:ilvl="6" w:tplc="DD50FC06">
      <w:start w:val="1"/>
      <w:numFmt w:val="decimal"/>
      <w:lvlText w:val="%7."/>
      <w:lvlJc w:val="left"/>
      <w:pPr>
        <w:ind w:left="2800" w:hanging="360"/>
      </w:pPr>
    </w:lvl>
    <w:lvl w:ilvl="7" w:tplc="FBFA42CC">
      <w:start w:val="1"/>
      <w:numFmt w:val="lowerLetter"/>
      <w:lvlText w:val="%8."/>
      <w:lvlJc w:val="left"/>
      <w:pPr>
        <w:ind w:left="3200" w:hanging="360"/>
      </w:pPr>
    </w:lvl>
    <w:lvl w:ilvl="8" w:tplc="E594EDF0">
      <w:numFmt w:val="decimal"/>
      <w:lvlText w:val=""/>
      <w:lvlJc w:val="left"/>
    </w:lvl>
  </w:abstractNum>
  <w:abstractNum w:abstractNumId="16" w15:restartNumberingAfterBreak="0">
    <w:nsid w:val="7D8F1BA6"/>
    <w:multiLevelType w:val="hybridMultilevel"/>
    <w:tmpl w:val="A9C80322"/>
    <w:lvl w:ilvl="0" w:tplc="6CF8FE58">
      <w:start w:val="1"/>
      <w:numFmt w:val="bullet"/>
      <w:lvlText w:val=""/>
      <w:lvlJc w:val="left"/>
      <w:pPr>
        <w:ind w:left="400" w:hanging="360"/>
      </w:pPr>
      <w:rPr>
        <w:rFonts w:ascii="Symbol" w:hAnsi="Symbol"/>
      </w:rPr>
    </w:lvl>
    <w:lvl w:ilvl="1" w:tplc="322045A4">
      <w:start w:val="1"/>
      <w:numFmt w:val="bullet"/>
      <w:lvlText w:val="o"/>
      <w:lvlJc w:val="left"/>
      <w:pPr>
        <w:ind w:left="800" w:hanging="360"/>
      </w:pPr>
      <w:rPr>
        <w:rFonts w:ascii="Courier New" w:hAnsi="Courier New"/>
      </w:rPr>
    </w:lvl>
    <w:lvl w:ilvl="2" w:tplc="2B5478D2">
      <w:start w:val="1"/>
      <w:numFmt w:val="bullet"/>
      <w:lvlText w:val=""/>
      <w:lvlJc w:val="left"/>
      <w:pPr>
        <w:ind w:left="1200" w:hanging="360"/>
      </w:pPr>
      <w:rPr>
        <w:rFonts w:ascii="Wingdings" w:hAnsi="Wingdings"/>
      </w:rPr>
    </w:lvl>
    <w:lvl w:ilvl="3" w:tplc="926CCCF4">
      <w:start w:val="1"/>
      <w:numFmt w:val="bullet"/>
      <w:lvlText w:val=""/>
      <w:lvlJc w:val="left"/>
      <w:pPr>
        <w:ind w:left="1600" w:hanging="360"/>
      </w:pPr>
      <w:rPr>
        <w:rFonts w:ascii="Symbol" w:hAnsi="Symbol"/>
      </w:rPr>
    </w:lvl>
    <w:lvl w:ilvl="4" w:tplc="2F1C91C0">
      <w:start w:val="1"/>
      <w:numFmt w:val="bullet"/>
      <w:lvlText w:val="o"/>
      <w:lvlJc w:val="left"/>
      <w:pPr>
        <w:ind w:left="2000" w:hanging="360"/>
      </w:pPr>
      <w:rPr>
        <w:rFonts w:ascii="Courier New" w:hAnsi="Courier New"/>
      </w:rPr>
    </w:lvl>
    <w:lvl w:ilvl="5" w:tplc="FF60C086">
      <w:start w:val="1"/>
      <w:numFmt w:val="bullet"/>
      <w:lvlText w:val=""/>
      <w:lvlJc w:val="left"/>
      <w:pPr>
        <w:ind w:left="2400" w:hanging="360"/>
      </w:pPr>
      <w:rPr>
        <w:rFonts w:ascii="Wingdings" w:hAnsi="Wingdings"/>
      </w:rPr>
    </w:lvl>
    <w:lvl w:ilvl="6" w:tplc="862250F8">
      <w:start w:val="1"/>
      <w:numFmt w:val="bullet"/>
      <w:lvlText w:val=""/>
      <w:lvlJc w:val="left"/>
      <w:pPr>
        <w:ind w:left="2800" w:hanging="360"/>
      </w:pPr>
      <w:rPr>
        <w:rFonts w:ascii="Symbol" w:hAnsi="Symbol"/>
      </w:rPr>
    </w:lvl>
    <w:lvl w:ilvl="7" w:tplc="BABAE0BC">
      <w:start w:val="1"/>
      <w:numFmt w:val="bullet"/>
      <w:lvlText w:val="o"/>
      <w:lvlJc w:val="left"/>
      <w:pPr>
        <w:ind w:left="3200" w:hanging="360"/>
      </w:pPr>
      <w:rPr>
        <w:rFonts w:ascii="Courier New" w:hAnsi="Courier New"/>
      </w:rPr>
    </w:lvl>
    <w:lvl w:ilvl="8" w:tplc="158CF44A">
      <w:numFmt w:val="decimal"/>
      <w:lvlText w:val=""/>
      <w:lvlJc w:val="left"/>
    </w:lvl>
  </w:abstractNum>
  <w:num w:numId="1" w16cid:durableId="1402486462">
    <w:abstractNumId w:val="8"/>
  </w:num>
  <w:num w:numId="2" w16cid:durableId="1603687328">
    <w:abstractNumId w:val="13"/>
  </w:num>
  <w:num w:numId="3" w16cid:durableId="1995722681">
    <w:abstractNumId w:val="2"/>
  </w:num>
  <w:num w:numId="4" w16cid:durableId="1060130663">
    <w:abstractNumId w:val="5"/>
  </w:num>
  <w:num w:numId="5" w16cid:durableId="1649823960">
    <w:abstractNumId w:val="15"/>
  </w:num>
  <w:num w:numId="6" w16cid:durableId="1977295341">
    <w:abstractNumId w:val="7"/>
  </w:num>
  <w:num w:numId="7" w16cid:durableId="878586522">
    <w:abstractNumId w:val="1"/>
  </w:num>
  <w:num w:numId="8" w16cid:durableId="484784992">
    <w:abstractNumId w:val="9"/>
  </w:num>
  <w:num w:numId="9" w16cid:durableId="1776091844">
    <w:abstractNumId w:val="12"/>
  </w:num>
  <w:num w:numId="10" w16cid:durableId="917248498">
    <w:abstractNumId w:val="14"/>
  </w:num>
  <w:num w:numId="11" w16cid:durableId="2018654926">
    <w:abstractNumId w:val="16"/>
  </w:num>
  <w:num w:numId="12" w16cid:durableId="472597053">
    <w:abstractNumId w:val="10"/>
  </w:num>
  <w:num w:numId="13" w16cid:durableId="1081290091">
    <w:abstractNumId w:val="4"/>
  </w:num>
  <w:num w:numId="14" w16cid:durableId="1895308963">
    <w:abstractNumId w:val="0"/>
  </w:num>
  <w:num w:numId="15" w16cid:durableId="879441378">
    <w:abstractNumId w:val="11"/>
  </w:num>
  <w:num w:numId="16" w16cid:durableId="1286816659">
    <w:abstractNumId w:val="6"/>
  </w:num>
  <w:num w:numId="17" w16cid:durableId="1816310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64485"/>
    <w:rsid w:val="001A4D55"/>
    <w:rsid w:val="005A729A"/>
    <w:rsid w:val="006250E2"/>
    <w:rsid w:val="00910AC5"/>
    <w:rsid w:val="00993FA3"/>
    <w:rsid w:val="009A5B18"/>
    <w:rsid w:val="009D1A07"/>
    <w:rsid w:val="00A87F45"/>
    <w:rsid w:val="00AF20E2"/>
    <w:rsid w:val="00BB07B2"/>
    <w:rsid w:val="00DF736E"/>
    <w:rsid w:val="00E35BBF"/>
    <w:rsid w:val="00EF678D"/>
    <w:rsid w:val="00F64485"/>
    <w:rsid w:val="00FD6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82BD21"/>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AF20E2"/>
    <w:rPr>
      <w:sz w:val="20"/>
      <w:szCs w:val="20"/>
    </w:rPr>
  </w:style>
  <w:style w:type="character" w:customStyle="1" w:styleId="FootnoteTextChar">
    <w:name w:val="Footnote Text Char"/>
    <w:basedOn w:val="DefaultParagraphFont"/>
    <w:link w:val="FootnoteText"/>
    <w:uiPriority w:val="99"/>
    <w:rsid w:val="00AF20E2"/>
    <w:rPr>
      <w:sz w:val="20"/>
      <w:szCs w:val="20"/>
    </w:rPr>
  </w:style>
  <w:style w:type="character" w:styleId="FootnoteReference">
    <w:name w:val="footnote reference"/>
    <w:aliases w:val="ftref,(NECG) Footnote Reference,Ref,de nota al pie,16 Point,Superscript 6 Point,SUPERS,number,Footnote reference number,Footnote symbol,note TESI,-E Fußnotenzeichen,Superscript 6 Point + 11 pt,referencia nota al pie,Footnote Referenc"/>
    <w:basedOn w:val="DefaultParagraphFont"/>
    <w:uiPriority w:val="99"/>
    <w:unhideWhenUsed/>
    <w:qFormat/>
    <w:rsid w:val="00AF20E2"/>
    <w:rPr>
      <w:vertAlign w:val="superscript"/>
    </w:rPr>
  </w:style>
  <w:style w:type="paragraph" w:styleId="ListParagraph">
    <w:name w:val="List Paragraph"/>
    <w:basedOn w:val="Normal"/>
    <w:link w:val="ListParagraphChar"/>
    <w:uiPriority w:val="34"/>
    <w:qFormat/>
    <w:rsid w:val="00AF20E2"/>
    <w:pPr>
      <w:ind w:left="720"/>
      <w:contextualSpacing/>
    </w:pPr>
  </w:style>
  <w:style w:type="table" w:styleId="TableGrid">
    <w:name w:val="Table Grid"/>
    <w:basedOn w:val="TableNormal"/>
    <w:uiPriority w:val="39"/>
    <w:rsid w:val="00AF20E2"/>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AF20E2"/>
  </w:style>
  <w:style w:type="character" w:styleId="Hyperlink">
    <w:name w:val="Hyperlink"/>
    <w:basedOn w:val="DefaultParagraphFont"/>
    <w:uiPriority w:val="99"/>
    <w:unhideWhenUsed/>
    <w:rsid w:val="005A729A"/>
    <w:rPr>
      <w:color w:val="0563C1" w:themeColor="hyperlink"/>
      <w:u w:val="single"/>
    </w:rPr>
  </w:style>
  <w:style w:type="character" w:styleId="UnresolvedMention">
    <w:name w:val="Unresolved Mention"/>
    <w:basedOn w:val="DefaultParagraphFont"/>
    <w:uiPriority w:val="99"/>
    <w:semiHidden/>
    <w:unhideWhenUsed/>
    <w:rsid w:val="005A72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s://www.cifor.org/publications/pdf_files/Books/REDD-Benefit-Sharing.pdf" TargetMode="External"/><Relationship Id="rId2" Type="http://schemas.openxmlformats.org/officeDocument/2006/relationships/hyperlink" Target="https://www.nature.org/content/dam/tnc/nature/en/documents/tnc_benefit%20sharing_web.pdf" TargetMode="External"/><Relationship Id="rId1" Type="http://schemas.openxmlformats.org/officeDocument/2006/relationships/hyperlink" Target="https://wwfint.awsassets.panda.org/downloads/wwf_assessment_report_redd__programs_v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1474</Words>
  <Characters>8408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Carla Rey Christen</cp:lastModifiedBy>
  <cp:revision>6</cp:revision>
  <dcterms:created xsi:type="dcterms:W3CDTF">2024-06-02T13:59:00Z</dcterms:created>
  <dcterms:modified xsi:type="dcterms:W3CDTF">2024-07-12T12:38:00Z</dcterms:modified>
</cp:coreProperties>
</file>