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BAC50" w14:textId="77777777" w:rsidR="00E6386A" w:rsidRDefault="00000000">
      <w:pPr>
        <w:spacing w:before="120" w:after="120"/>
        <w:jc w:val="center"/>
      </w:pPr>
      <w:r>
        <w:rPr>
          <w:noProof/>
        </w:rPr>
        <w:drawing>
          <wp:anchor distT="0" distB="0" distL="114300" distR="114300" simplePos="0" relativeHeight="251658240" behindDoc="0" locked="0" layoutInCell="1" allowOverlap="1" wp14:anchorId="270E8EE4" wp14:editId="748C865C">
            <wp:simplePos x="0" y="0"/>
            <wp:positionH relativeFrom="page">
              <wp:posOffset>0</wp:posOffset>
            </wp:positionH>
            <wp:positionV relativeFrom="paragraph">
              <wp:posOffset>0</wp:posOffset>
            </wp:positionV>
            <wp:extent cx="7562850" cy="2268855"/>
            <wp:effectExtent l="0" t="0" r="0" b="0"/>
            <wp:wrapTopAndBottom/>
            <wp:docPr id="1" name="Drawing 0" descr="eda082bd00cdf9a90d043de0d9e99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da082bd00cdf9a90d043de0d9e99480.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690E2D10" w14:textId="34D892FF" w:rsidR="00E6386A" w:rsidRPr="004F7558" w:rsidRDefault="004F7558">
      <w:pPr>
        <w:spacing w:before="120" w:after="120" w:line="336" w:lineRule="auto"/>
        <w:rPr>
          <w:rFonts w:ascii="Bodoni 72 Book" w:hAnsi="Bodoni 72 Book"/>
          <w:lang w:val="es-ES"/>
        </w:rPr>
      </w:pPr>
      <w:r w:rsidRPr="004F7558">
        <w:rPr>
          <w:rFonts w:ascii="Bodoni 72 Book" w:eastAsia="Prata" w:hAnsi="Bodoni 72 Book" w:cs="Prata"/>
          <w:color w:val="68807A"/>
          <w:sz w:val="64"/>
          <w:szCs w:val="64"/>
          <w:lang w:val="es-ES"/>
        </w:rPr>
        <w:t>Consideraciones clave</w:t>
      </w:r>
    </w:p>
    <w:p w14:paraId="5FE39AE6" w14:textId="77777777" w:rsidR="00E6386A" w:rsidRPr="004F7558" w:rsidRDefault="00E6386A">
      <w:pPr>
        <w:pBdr>
          <w:bottom w:val="single" w:sz="6" w:space="0" w:color="68807A"/>
        </w:pBdr>
        <w:spacing w:before="120" w:after="120" w:line="0" w:lineRule="auto"/>
        <w:rPr>
          <w:lang w:val="es-ES"/>
        </w:rPr>
      </w:pPr>
    </w:p>
    <w:p w14:paraId="39BA4C76" w14:textId="77777777" w:rsidR="00E6386A" w:rsidRPr="004F7558" w:rsidRDefault="00000000">
      <w:pPr>
        <w:spacing w:before="120" w:after="120" w:line="336" w:lineRule="auto"/>
        <w:jc w:val="both"/>
        <w:rPr>
          <w:rFonts w:ascii="Avenir Next" w:hAnsi="Avenir Next"/>
          <w:sz w:val="20"/>
          <w:szCs w:val="20"/>
          <w:lang w:val="es-ES"/>
        </w:rPr>
      </w:pPr>
      <w:r w:rsidRPr="004F7558">
        <w:rPr>
          <w:rFonts w:ascii="Avenir Next" w:eastAsia="Montserrat" w:hAnsi="Avenir Next" w:cs="Montserrat"/>
          <w:color w:val="000000"/>
          <w:sz w:val="20"/>
          <w:szCs w:val="20"/>
          <w:lang w:val="es-ES"/>
        </w:rPr>
        <w:t xml:space="preserve">La salvaguarda ‘b’ de REDD+ de la CMNUCC se refiere a estructuras de gobernanza efectivas, que generalmente incluyen el acceso a procedimientos judiciales o administrativos que pueden proporcionar reparación efectiva por violaciones de derechos y para resolver disputas, especialmente para los pueblos indígenas y las comunidades locales. A los efectos de demostrar la conformidad con este elemento de la salvaguarda, se espera que los programas Jurisdiccionales REDD+ (J-REDD+) cuenten con mecanismos de reparación de reclamaciones (GRM, por sus siglas en inglés) que puedan abordar cualquier infracción o disputa que pueda surgir en el contexto de la implementación de Acciones REDD+. Se espera que estos GRM estén alineados con los estándares y mejores prácticas internacionales. </w:t>
      </w:r>
    </w:p>
    <w:p w14:paraId="3B141BB7" w14:textId="56B19325" w:rsidR="00E6386A" w:rsidRPr="004F7558" w:rsidRDefault="00000000">
      <w:pPr>
        <w:spacing w:before="120" w:after="120" w:line="336" w:lineRule="auto"/>
        <w:rPr>
          <w:rFonts w:ascii="Avenir Next" w:hAnsi="Avenir Next"/>
          <w:sz w:val="20"/>
          <w:szCs w:val="20"/>
          <w:lang w:val="es-ES"/>
        </w:rPr>
      </w:pPr>
      <w:r w:rsidRPr="004F7558">
        <w:rPr>
          <w:rFonts w:ascii="Avenir Next" w:eastAsia="Montserrat" w:hAnsi="Avenir Next" w:cs="Montserrat"/>
          <w:color w:val="000000"/>
          <w:sz w:val="20"/>
          <w:szCs w:val="20"/>
          <w:lang w:val="es-ES"/>
        </w:rPr>
        <w:t xml:space="preserve"> Las normas y mejores prácticas internacionales reconocen que los GRM eficaces incorporan los siguientes principios</w:t>
      </w:r>
      <w:r w:rsidR="004F7558" w:rsidRPr="004F7558">
        <w:rPr>
          <w:rStyle w:val="FootnoteReference"/>
          <w:rFonts w:ascii="Avenir Next" w:eastAsia="Montserrat" w:hAnsi="Avenir Next" w:cs="Montserrat"/>
          <w:color w:val="000000"/>
          <w:sz w:val="20"/>
          <w:szCs w:val="20"/>
          <w:lang w:val="es-ES"/>
        </w:rPr>
        <w:footnoteReference w:id="1"/>
      </w:r>
      <w:r w:rsidRPr="004F7558">
        <w:rPr>
          <w:rFonts w:ascii="Avenir Next" w:eastAsia="Montserrat" w:hAnsi="Avenir Next" w:cs="Montserrat"/>
          <w:color w:val="000000"/>
          <w:sz w:val="20"/>
          <w:szCs w:val="20"/>
          <w:lang w:val="es-ES"/>
        </w:rPr>
        <w:t xml:space="preserve">: </w:t>
      </w:r>
    </w:p>
    <w:p w14:paraId="6E1BD703" w14:textId="77777777" w:rsidR="004F7558" w:rsidRPr="004F7558" w:rsidRDefault="00000000" w:rsidP="004F7558">
      <w:pPr>
        <w:pStyle w:val="ListParagraph"/>
        <w:numPr>
          <w:ilvl w:val="0"/>
          <w:numId w:val="10"/>
        </w:numPr>
        <w:spacing w:before="120" w:after="120" w:line="336" w:lineRule="auto"/>
        <w:rPr>
          <w:rFonts w:ascii="Avenir Next" w:hAnsi="Avenir Next"/>
          <w:sz w:val="20"/>
          <w:szCs w:val="20"/>
          <w:lang w:val="es-ES"/>
        </w:rPr>
      </w:pPr>
      <w:r w:rsidRPr="004F7558">
        <w:rPr>
          <w:rFonts w:ascii="Avenir Next" w:eastAsia="Montserrat Bold" w:hAnsi="Avenir Next" w:cs="Montserrat Bold"/>
          <w:b/>
          <w:bCs/>
          <w:color w:val="000000"/>
          <w:sz w:val="20"/>
          <w:szCs w:val="20"/>
          <w:lang w:val="es-ES"/>
        </w:rPr>
        <w:t>Legítimo</w:t>
      </w:r>
      <w:r w:rsidRPr="004F7558">
        <w:rPr>
          <w:rFonts w:ascii="Avenir Next" w:eastAsia="Montserrat" w:hAnsi="Avenir Next" w:cs="Montserrat"/>
          <w:color w:val="000000"/>
          <w:sz w:val="20"/>
          <w:szCs w:val="20"/>
          <w:lang w:val="es-ES"/>
        </w:rPr>
        <w:t xml:space="preserve">: permitir la confianza de los grupos de partes interesadas para cuyo uso están destinados y ser responsable de la conducción justa de los procesos de reclamación. La rendición de cuentas para garantizar que las partes de un proceso de reclamación no puedan interferir con su conducta justa suele ser un factor importante para generar confianza entre las partes interesadas. </w:t>
      </w:r>
    </w:p>
    <w:p w14:paraId="5B757397" w14:textId="77777777" w:rsidR="004F7558" w:rsidRPr="004F7558" w:rsidRDefault="00000000" w:rsidP="004F7558">
      <w:pPr>
        <w:pStyle w:val="ListParagraph"/>
        <w:numPr>
          <w:ilvl w:val="0"/>
          <w:numId w:val="10"/>
        </w:numPr>
        <w:spacing w:before="120" w:after="120" w:line="336" w:lineRule="auto"/>
        <w:rPr>
          <w:rFonts w:ascii="Avenir Next" w:hAnsi="Avenir Next"/>
          <w:sz w:val="20"/>
          <w:szCs w:val="20"/>
          <w:lang w:val="es-ES"/>
        </w:rPr>
      </w:pPr>
      <w:r w:rsidRPr="004F7558">
        <w:rPr>
          <w:rFonts w:ascii="Avenir Next" w:eastAsia="Montserrat Bold" w:hAnsi="Avenir Next" w:cs="Montserrat Bold"/>
          <w:b/>
          <w:bCs/>
          <w:color w:val="000000"/>
          <w:sz w:val="20"/>
          <w:szCs w:val="20"/>
          <w:lang w:val="es-ES"/>
        </w:rPr>
        <w:lastRenderedPageBreak/>
        <w:t>Accesible</w:t>
      </w:r>
      <w:r w:rsidRPr="004F7558">
        <w:rPr>
          <w:rFonts w:ascii="Avenir Next" w:eastAsia="Montserrat" w:hAnsi="Avenir Next" w:cs="Montserrat"/>
          <w:color w:val="000000"/>
          <w:sz w:val="20"/>
          <w:szCs w:val="20"/>
          <w:lang w:val="es-ES"/>
        </w:rPr>
        <w:t xml:space="preserve">: ser conocido por todos los grupos de partes interesadas para cuyo uso están destinados y proporcionar asistencia adecuada a aquellos que puedan enfrentar barreras de acceso. Las barreras al acceso pueden incluir la falta de conocimiento del mecanismo, el idioma, la alfabetización, los costos, la ubicación física y el temor a represalias. </w:t>
      </w:r>
    </w:p>
    <w:p w14:paraId="09AA79C7" w14:textId="77777777" w:rsidR="004F7558" w:rsidRPr="004F7558" w:rsidRDefault="00000000" w:rsidP="004F7558">
      <w:pPr>
        <w:pStyle w:val="ListParagraph"/>
        <w:numPr>
          <w:ilvl w:val="0"/>
          <w:numId w:val="10"/>
        </w:numPr>
        <w:spacing w:before="120" w:after="120" w:line="336" w:lineRule="auto"/>
        <w:rPr>
          <w:rFonts w:ascii="Avenir Next" w:hAnsi="Avenir Next"/>
          <w:sz w:val="20"/>
          <w:szCs w:val="20"/>
          <w:lang w:val="es-ES"/>
        </w:rPr>
      </w:pPr>
      <w:r w:rsidRPr="004F7558">
        <w:rPr>
          <w:rFonts w:ascii="Avenir Next" w:eastAsia="Montserrat Bold" w:hAnsi="Avenir Next" w:cs="Montserrat Bold"/>
          <w:b/>
          <w:bCs/>
          <w:color w:val="000000"/>
          <w:sz w:val="20"/>
          <w:szCs w:val="20"/>
          <w:lang w:val="es-ES"/>
        </w:rPr>
        <w:t>Predecible</w:t>
      </w:r>
      <w:r w:rsidRPr="004F7558">
        <w:rPr>
          <w:rFonts w:ascii="Avenir Next" w:eastAsia="Montserrat" w:hAnsi="Avenir Next" w:cs="Montserrat"/>
          <w:color w:val="000000"/>
          <w:sz w:val="20"/>
          <w:szCs w:val="20"/>
          <w:lang w:val="es-ES"/>
        </w:rPr>
        <w:t xml:space="preserve">: proporcionar un procedimiento claro y conocido con un calendario indicativo para cada etapa, y claridad sobre los tipos de procesos y resultados disponibles y los medios para monitorear la implementación. Para que un mecanismo sea confiable y utilizado, debe proporcionar información pública sobre el procedimiento que ofrece. </w:t>
      </w:r>
    </w:p>
    <w:p w14:paraId="284D354C" w14:textId="51A6DEE8" w:rsidR="004F7558" w:rsidRPr="004F7558" w:rsidRDefault="00000000" w:rsidP="004F7558">
      <w:pPr>
        <w:pStyle w:val="ListParagraph"/>
        <w:numPr>
          <w:ilvl w:val="0"/>
          <w:numId w:val="10"/>
        </w:numPr>
        <w:spacing w:before="120" w:after="120" w:line="336" w:lineRule="auto"/>
        <w:rPr>
          <w:rFonts w:ascii="Avenir Next" w:hAnsi="Avenir Next"/>
          <w:sz w:val="20"/>
          <w:szCs w:val="20"/>
          <w:lang w:val="es-ES"/>
        </w:rPr>
      </w:pPr>
      <w:r w:rsidRPr="004F7558">
        <w:rPr>
          <w:rFonts w:ascii="Avenir Next" w:eastAsia="Montserrat" w:hAnsi="Avenir Next" w:cs="Montserrat"/>
          <w:color w:val="000000"/>
          <w:sz w:val="20"/>
          <w:szCs w:val="20"/>
          <w:lang w:val="es-ES"/>
        </w:rPr>
        <w:t xml:space="preserve"> </w:t>
      </w:r>
      <w:r w:rsidRPr="004F7558">
        <w:rPr>
          <w:rFonts w:ascii="Avenir Next" w:eastAsia="Montserrat Bold" w:hAnsi="Avenir Next" w:cs="Montserrat Bold"/>
          <w:b/>
          <w:bCs/>
          <w:color w:val="000000"/>
          <w:sz w:val="20"/>
          <w:szCs w:val="20"/>
          <w:lang w:val="es-ES"/>
        </w:rPr>
        <w:t>Equitativo</w:t>
      </w:r>
      <w:r w:rsidRPr="004F7558">
        <w:rPr>
          <w:rFonts w:ascii="Avenir Next" w:eastAsia="Montserrat" w:hAnsi="Avenir Next" w:cs="Montserrat"/>
          <w:color w:val="000000"/>
          <w:sz w:val="20"/>
          <w:szCs w:val="20"/>
          <w:lang w:val="es-ES"/>
        </w:rPr>
        <w:t xml:space="preserve">: </w:t>
      </w:r>
      <w:r w:rsidR="00152591" w:rsidRPr="00152591">
        <w:rPr>
          <w:rFonts w:ascii="Avenir Next" w:eastAsia="Montserrat" w:hAnsi="Avenir Next" w:cs="Montserrat"/>
          <w:color w:val="000000"/>
          <w:sz w:val="20"/>
          <w:szCs w:val="20"/>
          <w:lang w:val="es-ES"/>
        </w:rPr>
        <w:t>buscando garantizar que las partes agraviadas tengan acceso razonable a fuentes de información, asesoramiento y experiencia necesarios para participar en un proceso de queja en términos justos, informados y respetuosos. Cuando no se corrigen los desequilibrios, la percepción de inequidad puede socavar tanto la percepción de un proceso justo como la capacidad del mecanismo para llegar a soluciones duraderas.</w:t>
      </w:r>
    </w:p>
    <w:p w14:paraId="48B251CB" w14:textId="77777777" w:rsidR="004F7558" w:rsidRPr="004F7558" w:rsidRDefault="00000000" w:rsidP="004F7558">
      <w:pPr>
        <w:pStyle w:val="ListParagraph"/>
        <w:numPr>
          <w:ilvl w:val="0"/>
          <w:numId w:val="10"/>
        </w:numPr>
        <w:spacing w:before="120" w:after="120" w:line="336" w:lineRule="auto"/>
        <w:rPr>
          <w:rFonts w:ascii="Avenir Next" w:hAnsi="Avenir Next"/>
          <w:sz w:val="20"/>
          <w:szCs w:val="20"/>
          <w:lang w:val="es-ES"/>
        </w:rPr>
      </w:pPr>
      <w:r w:rsidRPr="004F7558">
        <w:rPr>
          <w:rFonts w:ascii="Avenir Next" w:eastAsia="Montserrat Bold" w:hAnsi="Avenir Next" w:cs="Montserrat Bold"/>
          <w:b/>
          <w:bCs/>
          <w:color w:val="000000"/>
          <w:sz w:val="20"/>
          <w:szCs w:val="20"/>
          <w:lang w:val="es-ES"/>
        </w:rPr>
        <w:t>Transparente</w:t>
      </w:r>
      <w:r w:rsidRPr="004F7558">
        <w:rPr>
          <w:rFonts w:ascii="Avenir Next" w:eastAsia="Montserrat" w:hAnsi="Avenir Next" w:cs="Montserrat"/>
          <w:color w:val="000000"/>
          <w:sz w:val="20"/>
          <w:szCs w:val="20"/>
          <w:lang w:val="es-ES"/>
        </w:rPr>
        <w:t xml:space="preserve">: mantener informadas a las partes de un reclamo sobre su progreso y proporcionar información suficiente sobre el desempeño del mecanismo para generar confianza en su efectividad y satisfacer cualquier interés público en juego. Brindar transparencia sobre el desempeño del mecanismo a partes interesadas más amplias, a través de estadísticas, estudios de casos o información más detallada sobre el manejo de ciertos casos, puede ser importante para demostrar su legitimidad y equidad, y mantener una confianza amplia. Al mismo tiempo, cuando sea necesario, se debe garantizar la confidencialidad del diálogo entre las partes y de las identidades de las personas. </w:t>
      </w:r>
    </w:p>
    <w:p w14:paraId="6DDDC25A" w14:textId="77777777" w:rsidR="004F7558" w:rsidRPr="004F7558" w:rsidRDefault="00000000" w:rsidP="004F7558">
      <w:pPr>
        <w:pStyle w:val="ListParagraph"/>
        <w:numPr>
          <w:ilvl w:val="0"/>
          <w:numId w:val="10"/>
        </w:numPr>
        <w:spacing w:before="120" w:after="120" w:line="336" w:lineRule="auto"/>
        <w:rPr>
          <w:rFonts w:ascii="Avenir Next" w:hAnsi="Avenir Next"/>
          <w:sz w:val="20"/>
          <w:szCs w:val="20"/>
          <w:lang w:val="es-ES"/>
        </w:rPr>
      </w:pPr>
      <w:r w:rsidRPr="004F7558">
        <w:rPr>
          <w:rFonts w:ascii="Avenir Next" w:eastAsia="Montserrat Bold" w:hAnsi="Avenir Next" w:cs="Montserrat Bold"/>
          <w:b/>
          <w:bCs/>
          <w:color w:val="000000"/>
          <w:sz w:val="20"/>
          <w:szCs w:val="20"/>
          <w:lang w:val="es-ES"/>
        </w:rPr>
        <w:t>Compatible con derechos</w:t>
      </w:r>
      <w:r w:rsidRPr="004F7558">
        <w:rPr>
          <w:rFonts w:ascii="Avenir Next" w:eastAsia="Montserrat" w:hAnsi="Avenir Next" w:cs="Montserrat"/>
          <w:color w:val="000000"/>
          <w:sz w:val="20"/>
          <w:szCs w:val="20"/>
          <w:lang w:val="es-ES"/>
        </w:rPr>
        <w:t xml:space="preserve">: estos procesos generalmente tienen más éxito cuando todas las partes acuerdan que los resultados son consistentes con los derechos aplicables reconocidos nacional e internacionalmente. Con frecuencia, los reclamos no se formulan en términos de derechos y muchos de ellos inicialmente no plantean preocupaciones sobre derechos humanos u otros derechos. En cualquier caso, cuando los resultados tengan implicaciones para los derechos, se debe tener cuidado de que sean consistentes con los estándares aplicables reconocidos a nivel nacional e internacional y que no restrinjan el acceso a otros mecanismos de reparación. </w:t>
      </w:r>
    </w:p>
    <w:p w14:paraId="3BD12A86" w14:textId="0C861B5B" w:rsidR="00E6386A" w:rsidRPr="004F7558" w:rsidRDefault="00000000" w:rsidP="004F7558">
      <w:pPr>
        <w:pStyle w:val="ListParagraph"/>
        <w:numPr>
          <w:ilvl w:val="0"/>
          <w:numId w:val="10"/>
        </w:numPr>
        <w:spacing w:before="120" w:after="120" w:line="336" w:lineRule="auto"/>
        <w:rPr>
          <w:rFonts w:ascii="Avenir Next" w:hAnsi="Avenir Next"/>
          <w:sz w:val="20"/>
          <w:szCs w:val="20"/>
          <w:lang w:val="es-ES"/>
        </w:rPr>
      </w:pPr>
      <w:r w:rsidRPr="004F7558">
        <w:rPr>
          <w:rFonts w:ascii="Avenir Next" w:eastAsia="Montserrat Bold" w:hAnsi="Avenir Next" w:cs="Montserrat Bold"/>
          <w:b/>
          <w:bCs/>
          <w:color w:val="000000"/>
          <w:sz w:val="20"/>
          <w:szCs w:val="20"/>
          <w:lang w:val="es-ES"/>
        </w:rPr>
        <w:t>Permitir el aprendizaje continuo</w:t>
      </w:r>
      <w:r w:rsidRPr="004F7558">
        <w:rPr>
          <w:rFonts w:ascii="Avenir Next" w:eastAsia="Montserrat" w:hAnsi="Avenir Next" w:cs="Montserrat"/>
          <w:color w:val="000000"/>
          <w:sz w:val="20"/>
          <w:szCs w:val="20"/>
          <w:lang w:val="es-ES"/>
        </w:rPr>
        <w:t xml:space="preserve">: aprovechar medidas relevantes para identificar lecciones para mejorar el mecanismo y prevenir futuras quejas y daños. Análisis periódico de la frecuencia, patrones y causas de los agravios; estrategias y procesos utilizados para la resolución de reclamaciones; y la efectividad de esas estrategias y procesos, pueden permitir que la institución que administra el mecanismo de reparación de reclamaciones mejore las políticas, procedimientos y prácticas para mejorar el desempeño y prevenir daños futuros. </w:t>
      </w:r>
    </w:p>
    <w:p w14:paraId="484201D9" w14:textId="77777777" w:rsidR="004F7558" w:rsidRPr="004F7558" w:rsidRDefault="00000000">
      <w:pPr>
        <w:spacing w:before="120" w:after="120" w:line="336" w:lineRule="auto"/>
        <w:rPr>
          <w:rFonts w:ascii="Avenir Next" w:hAnsi="Avenir Next"/>
          <w:sz w:val="20"/>
          <w:szCs w:val="20"/>
          <w:lang w:val="es-ES"/>
        </w:rPr>
      </w:pPr>
      <w:r w:rsidRPr="004F7558">
        <w:rPr>
          <w:rFonts w:ascii="Avenir Next" w:eastAsia="Montserrat" w:hAnsi="Avenir Next" w:cs="Montserrat"/>
          <w:color w:val="000000"/>
          <w:sz w:val="20"/>
          <w:szCs w:val="20"/>
          <w:lang w:val="es-ES"/>
        </w:rPr>
        <w:lastRenderedPageBreak/>
        <w:t>Por lo tanto, esta herramienta está destinada a ayudar a los programas J-REDD+ a comprender mejor:</w:t>
      </w:r>
      <w:r w:rsidRPr="004F7558">
        <w:rPr>
          <w:rFonts w:ascii="Avenir Next" w:eastAsia="Montserrat" w:hAnsi="Avenir Next" w:cs="Montserrat"/>
          <w:color w:val="2F5496"/>
          <w:sz w:val="20"/>
          <w:szCs w:val="20"/>
          <w:lang w:val="es-ES"/>
        </w:rPr>
        <w:t xml:space="preserve"> </w:t>
      </w:r>
    </w:p>
    <w:p w14:paraId="6B2C6693" w14:textId="77777777" w:rsidR="004F7558" w:rsidRPr="004F7558" w:rsidRDefault="00000000" w:rsidP="004F7558">
      <w:pPr>
        <w:pStyle w:val="ListParagraph"/>
        <w:numPr>
          <w:ilvl w:val="0"/>
          <w:numId w:val="11"/>
        </w:numPr>
        <w:spacing w:before="120" w:after="120" w:line="336" w:lineRule="auto"/>
        <w:rPr>
          <w:rFonts w:ascii="Avenir Next" w:hAnsi="Avenir Next"/>
          <w:sz w:val="20"/>
          <w:szCs w:val="20"/>
          <w:lang w:val="es-ES"/>
        </w:rPr>
      </w:pPr>
      <w:r w:rsidRPr="004F7558">
        <w:rPr>
          <w:rFonts w:ascii="Avenir Next" w:eastAsia="Montserrat" w:hAnsi="Avenir Next" w:cs="Montserrat"/>
          <w:color w:val="000000"/>
          <w:sz w:val="20"/>
          <w:szCs w:val="20"/>
          <w:lang w:val="es-ES"/>
        </w:rPr>
        <w:t>El nivel de alineación de sus mecanismos de reparación de reclamaciones con los estándares y mejores prácticas internacionales;</w:t>
      </w:r>
      <w:r w:rsidRPr="004F7558">
        <w:rPr>
          <w:rFonts w:ascii="Avenir Next" w:eastAsia="Montserrat" w:hAnsi="Avenir Next" w:cs="Montserrat"/>
          <w:color w:val="2F5496"/>
          <w:sz w:val="20"/>
          <w:szCs w:val="20"/>
          <w:lang w:val="es-ES"/>
        </w:rPr>
        <w:t xml:space="preserve"> </w:t>
      </w:r>
    </w:p>
    <w:p w14:paraId="0A1E5537" w14:textId="5458BBE0" w:rsidR="00E6386A" w:rsidRPr="004F7558" w:rsidRDefault="00000000" w:rsidP="004F7558">
      <w:pPr>
        <w:pStyle w:val="ListParagraph"/>
        <w:numPr>
          <w:ilvl w:val="0"/>
          <w:numId w:val="11"/>
        </w:numPr>
        <w:spacing w:before="120" w:after="120" w:line="336" w:lineRule="auto"/>
        <w:rPr>
          <w:rFonts w:ascii="Avenir Next" w:hAnsi="Avenir Next"/>
          <w:sz w:val="20"/>
          <w:szCs w:val="20"/>
          <w:lang w:val="es-ES"/>
        </w:rPr>
      </w:pPr>
      <w:r w:rsidRPr="004F7558">
        <w:rPr>
          <w:rFonts w:ascii="Avenir Next" w:eastAsia="Montserrat" w:hAnsi="Avenir Next" w:cs="Montserrat"/>
          <w:color w:val="000000"/>
          <w:sz w:val="20"/>
          <w:szCs w:val="20"/>
          <w:lang w:val="es-ES"/>
        </w:rPr>
        <w:t>Identificar cualquier brecha, debilidad y/o posible inconsistencia en estos acuerdos, e identificar recomendaciones para abordarlas.</w:t>
      </w:r>
      <w:r w:rsidRPr="004F7558">
        <w:rPr>
          <w:rFonts w:ascii="Avenir Next" w:eastAsia="Montserrat" w:hAnsi="Avenir Next" w:cs="Montserrat"/>
          <w:color w:val="2F5496"/>
          <w:sz w:val="20"/>
          <w:szCs w:val="20"/>
          <w:lang w:val="es-ES"/>
        </w:rPr>
        <w:t xml:space="preserve"> </w:t>
      </w:r>
    </w:p>
    <w:p w14:paraId="57AB74D4" w14:textId="6C8184C4" w:rsidR="00E6386A" w:rsidRPr="004F7558" w:rsidRDefault="004F7558">
      <w:pPr>
        <w:spacing w:before="120" w:after="120" w:line="336" w:lineRule="auto"/>
        <w:rPr>
          <w:rFonts w:ascii="Bodoni 72 Book" w:hAnsi="Bodoni 72 Book"/>
          <w:lang w:val="es-ES"/>
        </w:rPr>
      </w:pPr>
      <w:r w:rsidRPr="004F7558">
        <w:rPr>
          <w:rFonts w:ascii="Bodoni 72 Book" w:eastAsia="Prata" w:hAnsi="Bodoni 72 Book" w:cs="Prata"/>
          <w:color w:val="68807A"/>
          <w:sz w:val="64"/>
          <w:szCs w:val="64"/>
          <w:lang w:val="es-ES"/>
        </w:rPr>
        <w:t>¿Cómo utilizar esta herramienta?</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9030"/>
      </w:tblGrid>
      <w:tr w:rsidR="00E6386A" w:rsidRPr="004F7558" w14:paraId="099499D8" w14:textId="77777777">
        <w:tc>
          <w:tcPr>
            <w:tcW w:w="9030" w:type="dxa"/>
            <w:shd w:val="clear" w:color="auto" w:fill="68807A"/>
            <w:tcMar>
              <w:top w:w="180" w:type="dxa"/>
              <w:left w:w="180" w:type="dxa"/>
              <w:bottom w:w="180" w:type="dxa"/>
              <w:right w:w="180" w:type="dxa"/>
            </w:tcMar>
          </w:tcPr>
          <w:p w14:paraId="6B4219B7" w14:textId="77777777" w:rsidR="004F7558" w:rsidRPr="004F7558" w:rsidRDefault="00000000">
            <w:pPr>
              <w:spacing w:before="120" w:after="120" w:line="336" w:lineRule="auto"/>
              <w:rPr>
                <w:rFonts w:ascii="Avenir Next" w:eastAsia="IBM Plex Sans" w:hAnsi="Avenir Next" w:cs="IBM Plex Sans"/>
                <w:color w:val="FFFFFF" w:themeColor="background1"/>
                <w:sz w:val="20"/>
                <w:szCs w:val="20"/>
                <w:lang w:val="es-ES"/>
              </w:rPr>
            </w:pPr>
            <w:r w:rsidRPr="004F7558">
              <w:rPr>
                <w:rFonts w:ascii="Avenir Next" w:eastAsia="IBM Plex Sans" w:hAnsi="Avenir Next" w:cs="IBM Plex Sans"/>
                <w:color w:val="FFFFFF" w:themeColor="background1"/>
                <w:sz w:val="20"/>
                <w:szCs w:val="20"/>
                <w:lang w:val="es-ES"/>
              </w:rPr>
              <w:t xml:space="preserve">Esta herramienta se divide en dos secciones: </w:t>
            </w:r>
          </w:p>
          <w:p w14:paraId="345FBB37" w14:textId="77777777" w:rsidR="004F7558" w:rsidRPr="004F7558" w:rsidRDefault="00000000" w:rsidP="004F7558">
            <w:pPr>
              <w:pStyle w:val="ListParagraph"/>
              <w:numPr>
                <w:ilvl w:val="0"/>
                <w:numId w:val="12"/>
              </w:numPr>
              <w:spacing w:before="120" w:after="120" w:line="336" w:lineRule="auto"/>
              <w:rPr>
                <w:rFonts w:ascii="Avenir Next" w:hAnsi="Avenir Next"/>
                <w:color w:val="FFFFFF" w:themeColor="background1"/>
                <w:sz w:val="20"/>
                <w:szCs w:val="20"/>
                <w:lang w:val="es-ES"/>
              </w:rPr>
            </w:pPr>
            <w:r w:rsidRPr="004F7558">
              <w:rPr>
                <w:rFonts w:ascii="Avenir Next" w:eastAsia="IBM Plex Sans Bold" w:hAnsi="Avenir Next" w:cs="IBM Plex Sans Bold"/>
                <w:b/>
                <w:bCs/>
                <w:color w:val="FFFFFF" w:themeColor="background1"/>
                <w:sz w:val="20"/>
                <w:szCs w:val="20"/>
                <w:lang w:val="es-ES"/>
              </w:rPr>
              <w:t>Sección A</w:t>
            </w:r>
            <w:r w:rsidRPr="004F7558">
              <w:rPr>
                <w:rFonts w:ascii="Avenir Next" w:eastAsia="IBM Plex Sans" w:hAnsi="Avenir Next" w:cs="IBM Plex Sans"/>
                <w:color w:val="FFFFFF" w:themeColor="background1"/>
                <w:sz w:val="20"/>
                <w:szCs w:val="20"/>
                <w:lang w:val="es-ES"/>
              </w:rPr>
              <w:t xml:space="preserve">: presenta un cuestionario que guía a los usuarios a través de la evaluación técnica cualitativa de los GRM. </w:t>
            </w:r>
          </w:p>
          <w:p w14:paraId="126D63A6" w14:textId="05FC1FE1" w:rsidR="00E6386A" w:rsidRPr="004F7558" w:rsidRDefault="00000000" w:rsidP="004F7558">
            <w:pPr>
              <w:pStyle w:val="ListParagraph"/>
              <w:numPr>
                <w:ilvl w:val="0"/>
                <w:numId w:val="12"/>
              </w:numPr>
              <w:spacing w:before="120" w:after="120" w:line="336" w:lineRule="auto"/>
              <w:rPr>
                <w:rFonts w:ascii="Avenir Next" w:hAnsi="Avenir Next"/>
                <w:color w:val="FFFFFF" w:themeColor="background1"/>
                <w:sz w:val="20"/>
                <w:szCs w:val="20"/>
                <w:lang w:val="es-ES"/>
              </w:rPr>
            </w:pPr>
            <w:r w:rsidRPr="004F7558">
              <w:rPr>
                <w:rFonts w:ascii="Avenir Next" w:eastAsia="IBM Plex Sans Bold" w:hAnsi="Avenir Next" w:cs="IBM Plex Sans Bold"/>
                <w:b/>
                <w:bCs/>
                <w:color w:val="FFFFFF" w:themeColor="background1"/>
                <w:sz w:val="20"/>
                <w:szCs w:val="20"/>
                <w:lang w:val="es-ES"/>
              </w:rPr>
              <w:t>Sección B</w:t>
            </w:r>
            <w:r w:rsidRPr="004F7558">
              <w:rPr>
                <w:rFonts w:ascii="Avenir Next" w:eastAsia="IBM Plex Sans" w:hAnsi="Avenir Next" w:cs="IBM Plex Sans"/>
                <w:color w:val="FFFFFF" w:themeColor="background1"/>
                <w:sz w:val="20"/>
                <w:szCs w:val="20"/>
                <w:lang w:val="es-ES"/>
              </w:rPr>
              <w:t>: presenta una plantilla de informe, que se completará en función de los resultados de la Sección 'A', e informará el desarrollo de la hoja de ruta J-REDD+ (Herramienta 8).</w:t>
            </w:r>
            <w:r w:rsidRPr="004F7558">
              <w:rPr>
                <w:rFonts w:ascii="IBM Plex Sans" w:eastAsia="IBM Plex Sans" w:hAnsi="IBM Plex Sans" w:cs="IBM Plex Sans"/>
                <w:color w:val="2F5496"/>
                <w:sz w:val="32"/>
                <w:szCs w:val="32"/>
                <w:lang w:val="es-ES"/>
              </w:rPr>
              <w:t xml:space="preserve"> </w:t>
            </w:r>
          </w:p>
        </w:tc>
      </w:tr>
    </w:tbl>
    <w:p w14:paraId="6E43EF64" w14:textId="77777777" w:rsidR="004F7558" w:rsidRDefault="004F7558">
      <w:pPr>
        <w:spacing w:before="120" w:after="120" w:line="336" w:lineRule="auto"/>
        <w:rPr>
          <w:rFonts w:ascii="Montserrat" w:eastAsia="Montserrat" w:hAnsi="Montserrat" w:cs="Montserrat"/>
          <w:color w:val="000000"/>
          <w:sz w:val="64"/>
          <w:szCs w:val="64"/>
          <w:lang w:val="es-ES"/>
        </w:rPr>
      </w:pPr>
    </w:p>
    <w:p w14:paraId="22B7BD0B" w14:textId="77777777" w:rsidR="004F7558" w:rsidRDefault="004F7558">
      <w:pPr>
        <w:spacing w:before="120" w:after="120" w:line="336" w:lineRule="auto"/>
        <w:rPr>
          <w:rFonts w:ascii="Montserrat" w:eastAsia="Montserrat" w:hAnsi="Montserrat" w:cs="Montserrat"/>
          <w:color w:val="000000"/>
          <w:sz w:val="64"/>
          <w:szCs w:val="64"/>
          <w:lang w:val="es-ES"/>
        </w:rPr>
      </w:pPr>
    </w:p>
    <w:p w14:paraId="59B1E26C" w14:textId="77777777" w:rsidR="004F7558" w:rsidRDefault="004F7558">
      <w:pPr>
        <w:spacing w:before="120" w:after="120" w:line="336" w:lineRule="auto"/>
        <w:rPr>
          <w:rFonts w:ascii="Montserrat" w:eastAsia="Montserrat" w:hAnsi="Montserrat" w:cs="Montserrat"/>
          <w:color w:val="000000"/>
          <w:sz w:val="64"/>
          <w:szCs w:val="64"/>
          <w:lang w:val="es-ES"/>
        </w:rPr>
      </w:pPr>
    </w:p>
    <w:p w14:paraId="266D13ED" w14:textId="77777777" w:rsidR="004F7558" w:rsidRDefault="004F7558">
      <w:pPr>
        <w:spacing w:before="120" w:after="120" w:line="336" w:lineRule="auto"/>
        <w:rPr>
          <w:rFonts w:ascii="Montserrat" w:eastAsia="Montserrat" w:hAnsi="Montserrat" w:cs="Montserrat"/>
          <w:color w:val="000000"/>
          <w:sz w:val="64"/>
          <w:szCs w:val="64"/>
          <w:lang w:val="es-ES"/>
        </w:rPr>
      </w:pPr>
    </w:p>
    <w:p w14:paraId="03E05A8D" w14:textId="77777777" w:rsidR="004F7558" w:rsidRDefault="004F7558">
      <w:pPr>
        <w:spacing w:before="120" w:after="120" w:line="336" w:lineRule="auto"/>
        <w:rPr>
          <w:rFonts w:ascii="Montserrat" w:eastAsia="Montserrat" w:hAnsi="Montserrat" w:cs="Montserrat"/>
          <w:color w:val="000000"/>
          <w:sz w:val="64"/>
          <w:szCs w:val="64"/>
          <w:lang w:val="es-ES"/>
        </w:rPr>
      </w:pPr>
    </w:p>
    <w:p w14:paraId="50D2A391" w14:textId="77777777" w:rsidR="004F7558" w:rsidRDefault="004F7558">
      <w:pPr>
        <w:spacing w:before="120" w:after="120" w:line="336" w:lineRule="auto"/>
        <w:rPr>
          <w:rFonts w:ascii="Montserrat" w:eastAsia="Montserrat" w:hAnsi="Montserrat" w:cs="Montserrat"/>
          <w:color w:val="000000"/>
          <w:sz w:val="64"/>
          <w:szCs w:val="64"/>
          <w:lang w:val="es-ES"/>
        </w:rPr>
      </w:pPr>
    </w:p>
    <w:p w14:paraId="27B4BA02" w14:textId="77777777" w:rsidR="004F7558" w:rsidRPr="004F7558" w:rsidRDefault="004F7558" w:rsidP="004F7558">
      <w:pPr>
        <w:spacing w:before="120" w:after="120" w:line="336" w:lineRule="auto"/>
        <w:rPr>
          <w:rFonts w:ascii="Bodoni 72 Book" w:eastAsia="Montserrat" w:hAnsi="Bodoni 72 Book" w:cs="Montserrat"/>
          <w:color w:val="68807A"/>
          <w:sz w:val="64"/>
          <w:szCs w:val="64"/>
          <w:lang w:val="es-ES"/>
        </w:rPr>
      </w:pPr>
      <w:r w:rsidRPr="004F7558">
        <w:rPr>
          <w:rFonts w:ascii="Bodoni 72 Book" w:eastAsia="Montserrat" w:hAnsi="Bodoni 72 Book" w:cs="Montserrat"/>
          <w:color w:val="68807A"/>
          <w:sz w:val="64"/>
          <w:szCs w:val="64"/>
          <w:lang w:val="es-ES"/>
        </w:rPr>
        <w:lastRenderedPageBreak/>
        <w:t>Sección A - Cuestionario</w:t>
      </w:r>
    </w:p>
    <w:p w14:paraId="5D3C7463" w14:textId="7349D659" w:rsidR="004F7558" w:rsidRDefault="004F7558" w:rsidP="004F7558">
      <w:pPr>
        <w:spacing w:before="120" w:after="120" w:line="336" w:lineRule="auto"/>
        <w:rPr>
          <w:rFonts w:ascii="Avenir Next" w:eastAsia="IBM Plex Sans" w:hAnsi="Avenir Next" w:cs="IBM Plex Sans"/>
          <w:color w:val="000000"/>
          <w:sz w:val="20"/>
          <w:szCs w:val="20"/>
          <w:lang w:val="es-ES"/>
        </w:rPr>
      </w:pPr>
      <w:r w:rsidRPr="004F7558">
        <w:rPr>
          <w:rFonts w:ascii="Avenir Next" w:eastAsia="IBM Plex Sans" w:hAnsi="Avenir Next" w:cs="IBM Plex Sans"/>
          <w:color w:val="000000"/>
          <w:sz w:val="20"/>
          <w:szCs w:val="20"/>
          <w:lang w:val="es-ES"/>
        </w:rPr>
        <w:t>El cuestionario está estructurado en consonancia con los principios establecidos anteriormente, que constituyen los estándares internacionales y las buenas prácticas para los GRM</w:t>
      </w:r>
      <w:r>
        <w:rPr>
          <w:rStyle w:val="FootnoteReference"/>
          <w:rFonts w:ascii="Avenir Next" w:eastAsia="IBM Plex Sans" w:hAnsi="Avenir Next" w:cs="IBM Plex Sans"/>
          <w:color w:val="000000"/>
          <w:sz w:val="20"/>
          <w:szCs w:val="20"/>
          <w:lang w:val="es-ES"/>
        </w:rPr>
        <w:footnoteReference w:id="2"/>
      </w:r>
      <w:r w:rsidRPr="004F7558">
        <w:rPr>
          <w:rFonts w:ascii="Avenir Next" w:eastAsia="IBM Plex Sans" w:hAnsi="Avenir Next" w:cs="IBM Plex Sans"/>
          <w:color w:val="000000"/>
          <w:sz w:val="20"/>
          <w:szCs w:val="20"/>
          <w:lang w:val="es-ES"/>
        </w:rPr>
        <w:t xml:space="preserve">.  </w:t>
      </w:r>
    </w:p>
    <w:p w14:paraId="419A71CC" w14:textId="4D73597A" w:rsidR="004F7558" w:rsidRPr="004A7BC4" w:rsidRDefault="004F7558" w:rsidP="004F7558">
      <w:p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Para completar este cuestionario, los usuarios deben considerar el alcance de cada columna de la siguiente manera:</w:t>
      </w:r>
    </w:p>
    <w:p w14:paraId="5D0C7F17" w14:textId="77777777" w:rsidR="004F7558" w:rsidRPr="004A7BC4" w:rsidRDefault="004F7558" w:rsidP="004F7558">
      <w:pPr>
        <w:pStyle w:val="ListParagraph"/>
        <w:numPr>
          <w:ilvl w:val="0"/>
          <w:numId w:val="13"/>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Preguntas:</w:t>
      </w:r>
      <w:r w:rsidRPr="004A7BC4">
        <w:rPr>
          <w:rFonts w:ascii="Avenir Next" w:eastAsia="IBM Plex Sans" w:hAnsi="Avenir Next" w:cs="IBM Plex Sans"/>
          <w:color w:val="000000"/>
          <w:sz w:val="20"/>
          <w:szCs w:val="20"/>
          <w:lang w:val="es-ES"/>
        </w:rPr>
        <w:t xml:space="preserve"> presenta preguntas orientativas para los usuarios.</w:t>
      </w:r>
    </w:p>
    <w:p w14:paraId="43748958" w14:textId="77777777" w:rsidR="004F7558" w:rsidRPr="004F7558" w:rsidRDefault="004F7558" w:rsidP="004F7558">
      <w:pPr>
        <w:pStyle w:val="ListParagraph"/>
        <w:numPr>
          <w:ilvl w:val="0"/>
          <w:numId w:val="13"/>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Puntuación:</w:t>
      </w:r>
      <w:r w:rsidRPr="004A7BC4">
        <w:rPr>
          <w:rFonts w:ascii="Avenir Next" w:eastAsia="IBM Plex Sans" w:hAnsi="Avenir Next" w:cs="IBM Plex Sans"/>
          <w:color w:val="000000"/>
          <w:sz w:val="20"/>
          <w:szCs w:val="20"/>
          <w:lang w:val="es-ES"/>
        </w:rPr>
        <w:t xml:space="preserve"> al responder las preguntas guía, los usuarios deben aplicar la siguiente guía de </w:t>
      </w:r>
      <w:r w:rsidRPr="004F7558">
        <w:rPr>
          <w:rFonts w:ascii="Avenir Next" w:eastAsia="IBM Plex Sans" w:hAnsi="Avenir Next" w:cs="IBM Plex Sans"/>
          <w:color w:val="000000"/>
          <w:sz w:val="20"/>
          <w:szCs w:val="20"/>
          <w:lang w:val="es-ES"/>
        </w:rPr>
        <w:t>puntuación:</w:t>
      </w:r>
    </w:p>
    <w:p w14:paraId="68C5D5B3" w14:textId="3014DF8E" w:rsidR="004F7558" w:rsidRPr="004F7558" w:rsidRDefault="004F7558" w:rsidP="004F7558">
      <w:pPr>
        <w:pStyle w:val="ListParagraph"/>
        <w:numPr>
          <w:ilvl w:val="1"/>
          <w:numId w:val="13"/>
        </w:numPr>
        <w:spacing w:before="120" w:after="120" w:line="336" w:lineRule="auto"/>
        <w:rPr>
          <w:rFonts w:ascii="Avenir Next" w:eastAsia="IBM Plex Sans" w:hAnsi="Avenir Next" w:cs="IBM Plex Sans"/>
          <w:color w:val="000000"/>
          <w:sz w:val="20"/>
          <w:szCs w:val="20"/>
          <w:lang w:val="es-ES"/>
        </w:rPr>
      </w:pPr>
      <w:r w:rsidRPr="004F7558">
        <w:rPr>
          <w:rFonts w:ascii="Avenir Next" w:hAnsi="Avenir Next"/>
          <w:noProof/>
          <w:sz w:val="20"/>
          <w:szCs w:val="20"/>
          <w:lang w:val="es-ES"/>
        </w:rPr>
        <w:drawing>
          <wp:anchor distT="0" distB="0" distL="114300" distR="114300" simplePos="0" relativeHeight="251661312" behindDoc="1" locked="0" layoutInCell="1" allowOverlap="1" wp14:anchorId="41A1B37D" wp14:editId="736F974D">
            <wp:simplePos x="0" y="0"/>
            <wp:positionH relativeFrom="column">
              <wp:posOffset>5138057</wp:posOffset>
            </wp:positionH>
            <wp:positionV relativeFrom="paragraph">
              <wp:posOffset>57423</wp:posOffset>
            </wp:positionV>
            <wp:extent cx="335915" cy="268605"/>
            <wp:effectExtent l="0" t="0" r="0" b="0"/>
            <wp:wrapSquare wrapText="bothSides"/>
            <wp:docPr id="21"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4F7558">
        <w:rPr>
          <w:rFonts w:ascii="Avenir Next" w:eastAsia="IBM Plex Sans" w:hAnsi="Avenir Next" w:cs="IBM Plex Sans"/>
          <w:color w:val="000000"/>
          <w:sz w:val="20"/>
          <w:szCs w:val="20"/>
          <w:lang w:val="es-ES"/>
        </w:rPr>
        <w:t xml:space="preserve"> </w:t>
      </w:r>
      <w:r w:rsidRPr="004F7558">
        <w:rPr>
          <w:rFonts w:ascii="Avenir Next" w:eastAsia="IBM Plex Sans" w:hAnsi="Avenir Next" w:cs="IBM Plex Sans"/>
          <w:b/>
          <w:bCs/>
          <w:color w:val="000000"/>
          <w:sz w:val="20"/>
          <w:szCs w:val="20"/>
          <w:lang w:val="es-ES"/>
        </w:rPr>
        <w:t>Si</w:t>
      </w:r>
      <w:r w:rsidRPr="004F7558">
        <w:rPr>
          <w:rFonts w:ascii="Avenir Next" w:eastAsia="IBM Plex Sans" w:hAnsi="Avenir Next" w:cs="IBM Plex Sans"/>
          <w:color w:val="000000"/>
          <w:sz w:val="20"/>
          <w:szCs w:val="20"/>
          <w:lang w:val="es-ES"/>
        </w:rPr>
        <w:t xml:space="preserve">: </w:t>
      </w:r>
      <w:r w:rsidR="00BB07DA">
        <w:rPr>
          <w:rFonts w:ascii="Avenir Next" w:eastAsia="IBM Plex Sans" w:hAnsi="Avenir Next" w:cs="IBM Plex Sans"/>
          <w:color w:val="000000"/>
          <w:sz w:val="20"/>
          <w:szCs w:val="20"/>
          <w:lang w:val="es-ES"/>
        </w:rPr>
        <w:t>e</w:t>
      </w:r>
      <w:r w:rsidRPr="004F7558">
        <w:rPr>
          <w:rFonts w:ascii="Avenir Next" w:eastAsia="IBM Plex Sans" w:hAnsi="Avenir Next" w:cs="IBM Plex Sans"/>
          <w:color w:val="000000"/>
          <w:sz w:val="20"/>
          <w:szCs w:val="20"/>
          <w:lang w:val="es-ES"/>
        </w:rPr>
        <w:t>l GRM incorpora este aspecto de conformidad con estándares y/o buenas prácticas internacionales relevantes</w:t>
      </w:r>
    </w:p>
    <w:p w14:paraId="71AF9CFF" w14:textId="44C05A8A" w:rsidR="004F7558" w:rsidRPr="004F7558" w:rsidRDefault="004F7558" w:rsidP="004F7558">
      <w:pPr>
        <w:pStyle w:val="ListParagraph"/>
        <w:numPr>
          <w:ilvl w:val="1"/>
          <w:numId w:val="13"/>
        </w:numPr>
        <w:spacing w:before="120" w:after="120" w:line="336" w:lineRule="auto"/>
        <w:rPr>
          <w:rFonts w:ascii="Avenir Next" w:eastAsia="IBM Plex Sans" w:hAnsi="Avenir Next" w:cs="IBM Plex Sans"/>
          <w:color w:val="000000"/>
          <w:sz w:val="20"/>
          <w:szCs w:val="20"/>
          <w:lang w:val="es-ES"/>
        </w:rPr>
      </w:pPr>
      <w:r w:rsidRPr="004F7558">
        <w:rPr>
          <w:rFonts w:ascii="Avenir Next" w:eastAsia="IBM Plex Sans" w:hAnsi="Avenir Next" w:cs="IBM Plex Sans"/>
          <w:color w:val="000000"/>
          <w:sz w:val="20"/>
          <w:szCs w:val="20"/>
          <w:lang w:val="es-ES"/>
        </w:rPr>
        <w:t xml:space="preserve"> </w:t>
      </w:r>
      <w:r w:rsidRPr="004F7558">
        <w:rPr>
          <w:rFonts w:ascii="Avenir Next" w:eastAsia="IBM Plex Sans" w:hAnsi="Avenir Next" w:cs="IBM Plex Sans"/>
          <w:b/>
          <w:bCs/>
          <w:color w:val="000000"/>
          <w:sz w:val="20"/>
          <w:szCs w:val="20"/>
          <w:lang w:val="es-ES"/>
        </w:rPr>
        <w:t>Parcialmente</w:t>
      </w:r>
      <w:r w:rsidRPr="004F7558">
        <w:rPr>
          <w:rFonts w:ascii="Avenir Next" w:eastAsia="IBM Plex Sans" w:hAnsi="Avenir Next" w:cs="IBM Plex Sans"/>
          <w:color w:val="000000"/>
          <w:sz w:val="20"/>
          <w:szCs w:val="20"/>
          <w:lang w:val="es-ES"/>
        </w:rPr>
        <w:t xml:space="preserve">: </w:t>
      </w:r>
      <w:r w:rsidR="00BB07DA">
        <w:rPr>
          <w:rFonts w:ascii="Avenir Next" w:eastAsia="IBM Plex Sans" w:hAnsi="Avenir Next" w:cs="IBM Plex Sans"/>
          <w:color w:val="000000"/>
          <w:sz w:val="20"/>
          <w:szCs w:val="20"/>
          <w:lang w:val="es-ES"/>
        </w:rPr>
        <w:t>e</w:t>
      </w:r>
      <w:r w:rsidRPr="004F7558">
        <w:rPr>
          <w:rFonts w:ascii="Avenir Next" w:eastAsia="IBM Plex Sans" w:hAnsi="Avenir Next" w:cs="IBM Plex Sans"/>
          <w:color w:val="000000"/>
          <w:sz w:val="20"/>
          <w:szCs w:val="20"/>
          <w:lang w:val="es-ES"/>
        </w:rPr>
        <w:t>l GRM incorpora parcialmente este aspecto de conformidad con estándares y/o buenas prácticas internacionales. Hay algunas lagunas que es necesario abordar.</w:t>
      </w:r>
    </w:p>
    <w:p w14:paraId="451FE10E" w14:textId="6DEB29CD" w:rsidR="004F7558" w:rsidRPr="004F7558" w:rsidRDefault="004F7558" w:rsidP="004F7558">
      <w:pPr>
        <w:pStyle w:val="ListParagraph"/>
        <w:numPr>
          <w:ilvl w:val="1"/>
          <w:numId w:val="13"/>
        </w:numPr>
        <w:spacing w:before="120" w:after="120" w:line="336" w:lineRule="auto"/>
        <w:rPr>
          <w:rFonts w:ascii="Avenir Next" w:eastAsia="IBM Plex Sans" w:hAnsi="Avenir Next" w:cs="IBM Plex Sans"/>
          <w:color w:val="000000"/>
          <w:sz w:val="20"/>
          <w:szCs w:val="20"/>
          <w:lang w:val="es-ES"/>
        </w:rPr>
      </w:pPr>
      <w:r w:rsidRPr="004F7558">
        <w:rPr>
          <w:rFonts w:ascii="Avenir Next" w:hAnsi="Avenir Next"/>
          <w:noProof/>
          <w:sz w:val="20"/>
          <w:szCs w:val="20"/>
          <w:lang w:val="es-ES"/>
        </w:rPr>
        <w:drawing>
          <wp:anchor distT="0" distB="0" distL="114300" distR="114300" simplePos="0" relativeHeight="251662336" behindDoc="0" locked="0" layoutInCell="1" allowOverlap="1" wp14:anchorId="1B0C5D76" wp14:editId="617ACEC5">
            <wp:simplePos x="0" y="0"/>
            <wp:positionH relativeFrom="column">
              <wp:posOffset>4956720</wp:posOffset>
            </wp:positionH>
            <wp:positionV relativeFrom="paragraph">
              <wp:posOffset>122555</wp:posOffset>
            </wp:positionV>
            <wp:extent cx="322580" cy="281940"/>
            <wp:effectExtent l="0" t="0" r="0" b="0"/>
            <wp:wrapSquare wrapText="bothSides"/>
            <wp:docPr id="22"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4F7558">
        <w:rPr>
          <w:rFonts w:ascii="Avenir Next" w:eastAsia="IBM Plex Sans" w:hAnsi="Avenir Next" w:cs="IBM Plex Sans"/>
          <w:b/>
          <w:bCs/>
          <w:color w:val="000000"/>
          <w:sz w:val="20"/>
          <w:szCs w:val="20"/>
          <w:lang w:val="es-ES"/>
        </w:rPr>
        <w:t>No</w:t>
      </w:r>
      <w:r w:rsidRPr="004F7558">
        <w:rPr>
          <w:rFonts w:ascii="Avenir Next" w:eastAsia="IBM Plex Sans" w:hAnsi="Avenir Next" w:cs="IBM Plex Sans"/>
          <w:color w:val="000000"/>
          <w:sz w:val="20"/>
          <w:szCs w:val="20"/>
          <w:lang w:val="es-ES"/>
        </w:rPr>
        <w:t>: Los GRM no incorporan este aspecto de conformidad con los estándares y/o buenas prácticas internacionales pertinentes.</w:t>
      </w:r>
    </w:p>
    <w:p w14:paraId="4B34D4A4" w14:textId="417FDE2A" w:rsidR="004F7558" w:rsidRPr="004F7558" w:rsidRDefault="004F7558" w:rsidP="004F7558">
      <w:pPr>
        <w:pStyle w:val="ListParagraph"/>
        <w:numPr>
          <w:ilvl w:val="0"/>
          <w:numId w:val="13"/>
        </w:numPr>
        <w:spacing w:before="120" w:after="120" w:line="336" w:lineRule="auto"/>
        <w:rPr>
          <w:rFonts w:ascii="Avenir Next" w:eastAsia="IBM Plex Sans" w:hAnsi="Avenir Next" w:cs="IBM Plex Sans"/>
          <w:color w:val="000000"/>
          <w:sz w:val="20"/>
          <w:szCs w:val="20"/>
          <w:lang w:val="es-ES"/>
        </w:rPr>
      </w:pPr>
      <w:r w:rsidRPr="004F7558">
        <w:rPr>
          <w:rFonts w:ascii="Avenir Next" w:eastAsia="IBM Plex Sans" w:hAnsi="Avenir Next" w:cs="IBM Plex Sans"/>
          <w:color w:val="000000"/>
          <w:sz w:val="20"/>
          <w:szCs w:val="20"/>
          <w:u w:val="single"/>
          <w:lang w:val="es-ES"/>
        </w:rPr>
        <w:t>Hallazgos:</w:t>
      </w:r>
      <w:r w:rsidRPr="004F7558">
        <w:rPr>
          <w:rFonts w:ascii="Avenir Next" w:eastAsia="IBM Plex Sans" w:hAnsi="Avenir Next" w:cs="IBM Plex Sans"/>
          <w:color w:val="000000"/>
          <w:sz w:val="20"/>
          <w:szCs w:val="20"/>
          <w:lang w:val="es-ES"/>
        </w:rPr>
        <w:t xml:space="preserve"> para que los usuarios ofrezcan información relevante y/o aclaraciones </w:t>
      </w:r>
      <w:r w:rsidR="00152591" w:rsidRPr="004F7558">
        <w:rPr>
          <w:rFonts w:ascii="Avenir Next" w:eastAsia="IBM Plex Sans" w:hAnsi="Avenir Next" w:cs="IBM Plex Sans"/>
          <w:color w:val="000000"/>
          <w:sz w:val="20"/>
          <w:szCs w:val="20"/>
          <w:lang w:val="es-ES"/>
        </w:rPr>
        <w:t>con relación a</w:t>
      </w:r>
      <w:r w:rsidRPr="004F7558">
        <w:rPr>
          <w:rFonts w:ascii="Avenir Next" w:eastAsia="IBM Plex Sans" w:hAnsi="Avenir Next" w:cs="IBM Plex Sans"/>
          <w:color w:val="000000"/>
          <w:sz w:val="20"/>
          <w:szCs w:val="20"/>
          <w:lang w:val="es-ES"/>
        </w:rPr>
        <w:t xml:space="preserve"> su puntuación.</w:t>
      </w:r>
    </w:p>
    <w:p w14:paraId="44CE7A09" w14:textId="77777777" w:rsidR="004F7558" w:rsidRPr="004A7BC4" w:rsidRDefault="004F7558" w:rsidP="004F7558">
      <w:pPr>
        <w:pStyle w:val="ListParagraph"/>
        <w:numPr>
          <w:ilvl w:val="0"/>
          <w:numId w:val="13"/>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Medios de verificación:</w:t>
      </w:r>
      <w:r w:rsidRPr="004A7BC4">
        <w:rPr>
          <w:rFonts w:ascii="Avenir Next" w:eastAsia="IBM Plex Sans" w:hAnsi="Avenir Next" w:cs="IBM Plex Sans"/>
          <w:color w:val="000000"/>
          <w:sz w:val="20"/>
          <w:szCs w:val="20"/>
          <w:lang w:val="es-ES"/>
        </w:rPr>
        <w:t xml:space="preserve"> los usuarios deberán proporcionar cualquier documentación utilizada para respaldar su puntuación, incluidos hipervínculos con información adicional.</w:t>
      </w:r>
    </w:p>
    <w:p w14:paraId="714A1201" w14:textId="77777777" w:rsidR="004F7558" w:rsidRPr="004A7BC4" w:rsidRDefault="004F7558" w:rsidP="004F7558">
      <w:pPr>
        <w:spacing w:line="336" w:lineRule="auto"/>
        <w:ind w:left="40"/>
        <w:rPr>
          <w:rFonts w:ascii="IBM Plex Sans" w:eastAsia="IBM Plex Sans" w:hAnsi="IBM Plex Sans" w:cs="IBM Plex Sans"/>
          <w:color w:val="000000"/>
          <w:lang w:val="es-ES"/>
        </w:rPr>
      </w:pPr>
    </w:p>
    <w:p w14:paraId="5FDFB97E" w14:textId="77777777" w:rsidR="004F7558" w:rsidRDefault="004F7558">
      <w:pPr>
        <w:spacing w:before="120" w:after="120" w:line="336" w:lineRule="auto"/>
        <w:rPr>
          <w:rFonts w:ascii="IBM Plex Sans" w:eastAsia="IBM Plex Sans" w:hAnsi="IBM Plex Sans" w:cs="IBM Plex Sans"/>
          <w:color w:val="000000"/>
          <w:lang w:val="es-ES"/>
        </w:rPr>
      </w:pPr>
    </w:p>
    <w:p w14:paraId="27B585A9" w14:textId="77777777" w:rsidR="004F7558" w:rsidRDefault="004F7558">
      <w:pPr>
        <w:spacing w:before="120" w:after="120" w:line="336" w:lineRule="auto"/>
        <w:rPr>
          <w:rFonts w:ascii="IBM Plex Sans" w:eastAsia="IBM Plex Sans" w:hAnsi="IBM Plex Sans" w:cs="IBM Plex Sans"/>
          <w:color w:val="000000"/>
          <w:lang w:val="es-ES"/>
        </w:rPr>
      </w:pPr>
    </w:p>
    <w:p w14:paraId="0DA37D9F" w14:textId="77777777" w:rsidR="004F7558" w:rsidRDefault="004F7558">
      <w:pPr>
        <w:spacing w:before="120" w:after="120" w:line="336" w:lineRule="auto"/>
        <w:rPr>
          <w:rFonts w:ascii="IBM Plex Sans" w:eastAsia="IBM Plex Sans" w:hAnsi="IBM Plex Sans" w:cs="IBM Plex Sans"/>
          <w:color w:val="000000"/>
          <w:lang w:val="es-ES"/>
        </w:rPr>
      </w:pPr>
    </w:p>
    <w:p w14:paraId="0DA6B5DF" w14:textId="77777777" w:rsidR="004F7558" w:rsidRDefault="004F7558">
      <w:pPr>
        <w:spacing w:before="120" w:after="120" w:line="336" w:lineRule="auto"/>
        <w:rPr>
          <w:rFonts w:ascii="IBM Plex Sans" w:eastAsia="IBM Plex Sans" w:hAnsi="IBM Plex Sans" w:cs="IBM Plex Sans"/>
          <w:color w:val="000000"/>
          <w:lang w:val="es-ES"/>
        </w:rPr>
      </w:pPr>
    </w:p>
    <w:p w14:paraId="4E539F2B" w14:textId="77777777" w:rsidR="004F7558" w:rsidRDefault="004F7558">
      <w:pPr>
        <w:spacing w:before="120" w:after="120" w:line="336" w:lineRule="auto"/>
        <w:rPr>
          <w:rFonts w:ascii="IBM Plex Sans" w:eastAsia="IBM Plex Sans" w:hAnsi="IBM Plex Sans" w:cs="IBM Plex Sans"/>
          <w:color w:val="000000"/>
          <w:lang w:val="es-ES"/>
        </w:rPr>
      </w:pPr>
    </w:p>
    <w:p w14:paraId="2C8F880E" w14:textId="77777777" w:rsidR="004F7558" w:rsidRDefault="004F7558">
      <w:pPr>
        <w:spacing w:before="120" w:after="120" w:line="336" w:lineRule="auto"/>
        <w:rPr>
          <w:rFonts w:ascii="IBM Plex Sans" w:eastAsia="IBM Plex Sans" w:hAnsi="IBM Plex Sans" w:cs="IBM Plex Sans"/>
          <w:color w:val="000000"/>
          <w:lang w:val="es-ES"/>
        </w:rPr>
      </w:pPr>
    </w:p>
    <w:p w14:paraId="0BFD1BFF" w14:textId="77777777" w:rsidR="004F7558" w:rsidRDefault="00000000">
      <w:pPr>
        <w:spacing w:before="120" w:after="120" w:line="336" w:lineRule="auto"/>
        <w:rPr>
          <w:rFonts w:ascii="IBM Plex Sans" w:eastAsia="IBM Plex Sans" w:hAnsi="IBM Plex Sans" w:cs="IBM Plex Sans"/>
          <w:color w:val="000000"/>
          <w:lang w:val="es-ES"/>
        </w:rPr>
        <w:sectPr w:rsidR="004F7558" w:rsidSect="00B70E4A">
          <w:pgSz w:w="11910" w:h="16845"/>
          <w:pgMar w:top="1440" w:right="1440" w:bottom="1440" w:left="1440" w:header="720" w:footer="720" w:gutter="0"/>
          <w:cols w:space="720"/>
        </w:sectPr>
      </w:pPr>
      <w:r w:rsidRPr="004F7558">
        <w:rPr>
          <w:rFonts w:ascii="IBM Plex Sans" w:eastAsia="IBM Plex Sans" w:hAnsi="IBM Plex Sans" w:cs="IBM Plex Sans"/>
          <w:color w:val="000000"/>
          <w:lang w:val="es-ES"/>
        </w:rPr>
        <w:t xml:space="preserve">   </w:t>
      </w:r>
    </w:p>
    <w:p w14:paraId="39291181" w14:textId="20D0F96A" w:rsidR="00E6386A" w:rsidRPr="004F7558" w:rsidRDefault="004F7558">
      <w:pPr>
        <w:spacing w:before="120" w:after="120" w:line="336" w:lineRule="auto"/>
        <w:rPr>
          <w:lang w:val="es-ES"/>
        </w:rPr>
      </w:pPr>
      <w:r w:rsidRPr="004F7558">
        <w:rPr>
          <w:rFonts w:ascii="Bodoni 72 Book" w:eastAsia="Montserrat" w:hAnsi="Bodoni 72 Book" w:cs="Montserrat"/>
          <w:color w:val="68807A"/>
          <w:sz w:val="64"/>
          <w:szCs w:val="64"/>
          <w:lang w:val="es-ES"/>
        </w:rPr>
        <w:lastRenderedPageBreak/>
        <w:t>Cuestionario</w:t>
      </w:r>
    </w:p>
    <w:p w14:paraId="77916211" w14:textId="77777777" w:rsidR="00E6386A" w:rsidRPr="004F7558" w:rsidRDefault="00E6386A">
      <w:pPr>
        <w:pBdr>
          <w:bottom w:val="single" w:sz="6" w:space="0" w:color="68807A"/>
        </w:pBdr>
        <w:spacing w:before="120" w:after="120" w:line="0" w:lineRule="auto"/>
        <w:rPr>
          <w:lang w:val="es-ES"/>
        </w:rPr>
      </w:pPr>
    </w:p>
    <w:tbl>
      <w:tblPr>
        <w:tblStyle w:val="TableGrid"/>
        <w:tblW w:w="14312" w:type="dxa"/>
        <w:tblBorders>
          <w:top w:val="single" w:sz="6" w:space="0" w:color="68807A"/>
          <w:left w:val="single" w:sz="6" w:space="0" w:color="68807A"/>
          <w:bottom w:val="single" w:sz="6" w:space="0" w:color="68807A"/>
          <w:right w:val="single" w:sz="6" w:space="0" w:color="68807A"/>
          <w:insideH w:val="single" w:sz="6" w:space="0" w:color="68807A"/>
          <w:insideV w:val="single" w:sz="6" w:space="0" w:color="68807A"/>
        </w:tblBorders>
        <w:tblLook w:val="04A0" w:firstRow="1" w:lastRow="0" w:firstColumn="1" w:lastColumn="0" w:noHBand="0" w:noVBand="1"/>
      </w:tblPr>
      <w:tblGrid>
        <w:gridCol w:w="4248"/>
        <w:gridCol w:w="2126"/>
        <w:gridCol w:w="4360"/>
        <w:gridCol w:w="3578"/>
      </w:tblGrid>
      <w:tr w:rsidR="004F7558" w:rsidRPr="00F802F9" w14:paraId="5E0D2FA7" w14:textId="77777777" w:rsidTr="00F802F9">
        <w:trPr>
          <w:trHeight w:val="372"/>
        </w:trPr>
        <w:tc>
          <w:tcPr>
            <w:tcW w:w="14312" w:type="dxa"/>
            <w:gridSpan w:val="4"/>
            <w:shd w:val="clear" w:color="auto" w:fill="68807A"/>
            <w:vAlign w:val="center"/>
          </w:tcPr>
          <w:p w14:paraId="12518FFA" w14:textId="77777777" w:rsidR="004F7558" w:rsidRPr="00F802F9" w:rsidRDefault="004F7558" w:rsidP="004F7558">
            <w:pPr>
              <w:rPr>
                <w:rFonts w:ascii="Avenir Next Ultra Light" w:hAnsi="Avenir Next Ultra Light"/>
                <w:b/>
                <w:bCs/>
                <w:color w:val="FFFFFF" w:themeColor="background1"/>
                <w:lang w:val="es-ES"/>
              </w:rPr>
            </w:pPr>
            <w:r w:rsidRPr="00F802F9">
              <w:rPr>
                <w:rFonts w:ascii="Avenir Next Ultra Light" w:hAnsi="Avenir Next Ultra Light"/>
                <w:b/>
                <w:bCs/>
                <w:color w:val="FFFFFF" w:themeColor="background1"/>
                <w:lang w:val="es-ES"/>
              </w:rPr>
              <w:t>Legitimidad</w:t>
            </w:r>
          </w:p>
        </w:tc>
      </w:tr>
      <w:tr w:rsidR="00F802F9" w:rsidRPr="00F802F9" w14:paraId="16408A96" w14:textId="77777777" w:rsidTr="00F802F9">
        <w:tc>
          <w:tcPr>
            <w:tcW w:w="4248" w:type="dxa"/>
            <w:shd w:val="clear" w:color="auto" w:fill="BBC8A7"/>
            <w:vAlign w:val="center"/>
          </w:tcPr>
          <w:p w14:paraId="3AE9FE99"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Preguntas</w:t>
            </w:r>
          </w:p>
        </w:tc>
        <w:tc>
          <w:tcPr>
            <w:tcW w:w="2126" w:type="dxa"/>
            <w:shd w:val="clear" w:color="auto" w:fill="BBC8A7"/>
            <w:vAlign w:val="center"/>
          </w:tcPr>
          <w:p w14:paraId="3DD900C2"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Puntuación</w:t>
            </w:r>
          </w:p>
          <w:p w14:paraId="48FEEFC3" w14:textId="3328EA3D"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(Si/No/Parcialmente)</w:t>
            </w:r>
          </w:p>
        </w:tc>
        <w:tc>
          <w:tcPr>
            <w:tcW w:w="4360" w:type="dxa"/>
            <w:shd w:val="clear" w:color="auto" w:fill="BBC8A7"/>
            <w:vAlign w:val="center"/>
          </w:tcPr>
          <w:p w14:paraId="7740EB25"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Hallazgos</w:t>
            </w:r>
          </w:p>
        </w:tc>
        <w:tc>
          <w:tcPr>
            <w:tcW w:w="3578" w:type="dxa"/>
            <w:shd w:val="clear" w:color="auto" w:fill="BBC8A7"/>
            <w:vAlign w:val="center"/>
          </w:tcPr>
          <w:p w14:paraId="1089EC72"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Medios de verificación</w:t>
            </w:r>
          </w:p>
        </w:tc>
      </w:tr>
      <w:tr w:rsidR="00F802F9" w:rsidRPr="00F802F9" w14:paraId="08B64E41" w14:textId="77777777" w:rsidTr="004F7558">
        <w:tc>
          <w:tcPr>
            <w:tcW w:w="4248" w:type="dxa"/>
          </w:tcPr>
          <w:p w14:paraId="451166AC" w14:textId="77777777" w:rsidR="004F7558" w:rsidRPr="00F802F9" w:rsidRDefault="004F7558" w:rsidP="004F7558">
            <w:pPr>
              <w:pStyle w:val="ListParagraph"/>
              <w:numPr>
                <w:ilvl w:val="0"/>
                <w:numId w:val="14"/>
              </w:numPr>
              <w:rPr>
                <w:rFonts w:ascii="Avenir Next" w:hAnsi="Avenir Next"/>
                <w:b/>
                <w:bCs/>
                <w:sz w:val="20"/>
                <w:szCs w:val="20"/>
                <w:lang w:val="es-ES"/>
              </w:rPr>
            </w:pPr>
            <w:r w:rsidRPr="00F802F9">
              <w:rPr>
                <w:rFonts w:ascii="Avenir Next" w:hAnsi="Avenir Next"/>
                <w:sz w:val="20"/>
                <w:szCs w:val="20"/>
                <w:lang w:val="es-ES"/>
              </w:rPr>
              <w:t>¿El GRM opera independientemente de las partes interesadas?</w:t>
            </w:r>
          </w:p>
          <w:p w14:paraId="479CA794" w14:textId="77777777" w:rsidR="004F7558" w:rsidRPr="00F802F9" w:rsidRDefault="004F7558" w:rsidP="00CE0AF6">
            <w:pPr>
              <w:pStyle w:val="ListParagraph"/>
              <w:rPr>
                <w:rFonts w:ascii="Avenir Next" w:hAnsi="Avenir Next"/>
                <w:b/>
                <w:bCs/>
                <w:sz w:val="20"/>
                <w:szCs w:val="20"/>
                <w:lang w:val="es-ES"/>
              </w:rPr>
            </w:pPr>
          </w:p>
        </w:tc>
        <w:tc>
          <w:tcPr>
            <w:tcW w:w="2126" w:type="dxa"/>
          </w:tcPr>
          <w:p w14:paraId="5FD5C376" w14:textId="77777777" w:rsidR="004F7558" w:rsidRPr="00F802F9" w:rsidRDefault="004F7558" w:rsidP="00CE0AF6">
            <w:pPr>
              <w:jc w:val="center"/>
              <w:rPr>
                <w:rFonts w:ascii="Avenir Next" w:hAnsi="Avenir Next"/>
                <w:b/>
                <w:bCs/>
                <w:sz w:val="20"/>
                <w:szCs w:val="20"/>
                <w:lang w:val="es-ES"/>
              </w:rPr>
            </w:pPr>
          </w:p>
        </w:tc>
        <w:tc>
          <w:tcPr>
            <w:tcW w:w="4360" w:type="dxa"/>
          </w:tcPr>
          <w:p w14:paraId="26B878E2" w14:textId="77777777" w:rsidR="004F7558" w:rsidRPr="00F802F9" w:rsidRDefault="004F7558" w:rsidP="00CE0AF6">
            <w:pPr>
              <w:jc w:val="center"/>
              <w:rPr>
                <w:rFonts w:ascii="Avenir Next" w:hAnsi="Avenir Next"/>
                <w:b/>
                <w:bCs/>
                <w:sz w:val="20"/>
                <w:szCs w:val="20"/>
                <w:lang w:val="es-ES"/>
              </w:rPr>
            </w:pPr>
          </w:p>
        </w:tc>
        <w:tc>
          <w:tcPr>
            <w:tcW w:w="3578" w:type="dxa"/>
          </w:tcPr>
          <w:p w14:paraId="0E0248FA" w14:textId="77777777" w:rsidR="004F7558" w:rsidRPr="00F802F9" w:rsidRDefault="004F7558" w:rsidP="00CE0AF6">
            <w:pPr>
              <w:jc w:val="center"/>
              <w:rPr>
                <w:rFonts w:ascii="Avenir Next" w:hAnsi="Avenir Next"/>
                <w:b/>
                <w:bCs/>
                <w:sz w:val="20"/>
                <w:szCs w:val="20"/>
                <w:lang w:val="es-ES"/>
              </w:rPr>
            </w:pPr>
          </w:p>
        </w:tc>
      </w:tr>
      <w:tr w:rsidR="00F802F9" w:rsidRPr="00F802F9" w14:paraId="039A4955" w14:textId="77777777" w:rsidTr="004F7558">
        <w:tc>
          <w:tcPr>
            <w:tcW w:w="4248" w:type="dxa"/>
          </w:tcPr>
          <w:p w14:paraId="54E4C644"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¿El GRM informa sobre su desempeño (es decir, su función de seguimiento y evaluación)?</w:t>
            </w:r>
          </w:p>
          <w:p w14:paraId="6796F073" w14:textId="77777777" w:rsidR="004F7558" w:rsidRPr="00F802F9" w:rsidRDefault="004F7558" w:rsidP="00CE0AF6">
            <w:pPr>
              <w:pStyle w:val="ListParagraph"/>
              <w:rPr>
                <w:rFonts w:ascii="Avenir Next" w:hAnsi="Avenir Next"/>
                <w:sz w:val="20"/>
                <w:szCs w:val="20"/>
                <w:lang w:val="es-ES"/>
              </w:rPr>
            </w:pPr>
          </w:p>
        </w:tc>
        <w:tc>
          <w:tcPr>
            <w:tcW w:w="2126" w:type="dxa"/>
          </w:tcPr>
          <w:p w14:paraId="24934C23" w14:textId="77777777" w:rsidR="004F7558" w:rsidRPr="00F802F9" w:rsidRDefault="004F7558" w:rsidP="00CE0AF6">
            <w:pPr>
              <w:jc w:val="center"/>
              <w:rPr>
                <w:rFonts w:ascii="Avenir Next" w:hAnsi="Avenir Next"/>
                <w:b/>
                <w:bCs/>
                <w:sz w:val="20"/>
                <w:szCs w:val="20"/>
                <w:lang w:val="es-ES"/>
              </w:rPr>
            </w:pPr>
          </w:p>
        </w:tc>
        <w:tc>
          <w:tcPr>
            <w:tcW w:w="4360" w:type="dxa"/>
          </w:tcPr>
          <w:p w14:paraId="41DCA4D2" w14:textId="77777777" w:rsidR="004F7558" w:rsidRPr="00F802F9" w:rsidRDefault="004F7558" w:rsidP="00CE0AF6">
            <w:pPr>
              <w:jc w:val="center"/>
              <w:rPr>
                <w:rFonts w:ascii="Avenir Next" w:hAnsi="Avenir Next"/>
                <w:b/>
                <w:bCs/>
                <w:sz w:val="20"/>
                <w:szCs w:val="20"/>
                <w:lang w:val="es-ES"/>
              </w:rPr>
            </w:pPr>
          </w:p>
        </w:tc>
        <w:tc>
          <w:tcPr>
            <w:tcW w:w="3578" w:type="dxa"/>
          </w:tcPr>
          <w:p w14:paraId="48ABD86A" w14:textId="77777777" w:rsidR="004F7558" w:rsidRPr="00F802F9" w:rsidRDefault="004F7558" w:rsidP="00CE0AF6">
            <w:pPr>
              <w:jc w:val="center"/>
              <w:rPr>
                <w:rFonts w:ascii="Avenir Next" w:hAnsi="Avenir Next"/>
                <w:b/>
                <w:bCs/>
                <w:sz w:val="20"/>
                <w:szCs w:val="20"/>
                <w:lang w:val="es-ES"/>
              </w:rPr>
            </w:pPr>
          </w:p>
        </w:tc>
      </w:tr>
      <w:tr w:rsidR="004F7558" w:rsidRPr="00F802F9" w14:paraId="6AF82D23" w14:textId="77777777" w:rsidTr="00F802F9">
        <w:trPr>
          <w:trHeight w:val="372"/>
        </w:trPr>
        <w:tc>
          <w:tcPr>
            <w:tcW w:w="14312" w:type="dxa"/>
            <w:gridSpan w:val="4"/>
            <w:shd w:val="clear" w:color="auto" w:fill="68807A"/>
            <w:vAlign w:val="center"/>
          </w:tcPr>
          <w:p w14:paraId="50FBE7CB" w14:textId="77777777" w:rsidR="004F7558" w:rsidRPr="00F802F9" w:rsidRDefault="004F7558" w:rsidP="004F7558">
            <w:pPr>
              <w:rPr>
                <w:rFonts w:ascii="Avenir Next Ultra Light" w:hAnsi="Avenir Next Ultra Light"/>
                <w:b/>
                <w:bCs/>
                <w:color w:val="FFFFFF" w:themeColor="background1"/>
                <w:lang w:val="es-ES"/>
              </w:rPr>
            </w:pPr>
            <w:r w:rsidRPr="00F802F9">
              <w:rPr>
                <w:rFonts w:ascii="Avenir Next Ultra Light" w:hAnsi="Avenir Next Ultra Light" w:cs="Calibri"/>
                <w:b/>
                <w:bCs/>
                <w:color w:val="FFFFFF" w:themeColor="background1"/>
                <w:lang w:val="es-ES"/>
              </w:rPr>
              <w:t>Accesibilidad</w:t>
            </w:r>
          </w:p>
        </w:tc>
      </w:tr>
      <w:tr w:rsidR="00F802F9" w:rsidRPr="00F802F9" w14:paraId="6DBD1FC9" w14:textId="77777777" w:rsidTr="00F802F9">
        <w:tc>
          <w:tcPr>
            <w:tcW w:w="4248" w:type="dxa"/>
            <w:shd w:val="clear" w:color="auto" w:fill="BBC8A7"/>
            <w:vAlign w:val="center"/>
          </w:tcPr>
          <w:p w14:paraId="4DE8821D"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Preguntas</w:t>
            </w:r>
          </w:p>
        </w:tc>
        <w:tc>
          <w:tcPr>
            <w:tcW w:w="2126" w:type="dxa"/>
            <w:shd w:val="clear" w:color="auto" w:fill="BBC8A7"/>
            <w:vAlign w:val="center"/>
          </w:tcPr>
          <w:p w14:paraId="6BD469AD"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Puntuación</w:t>
            </w:r>
          </w:p>
          <w:p w14:paraId="4EE6F534"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(Si/No/Parcialmente)</w:t>
            </w:r>
          </w:p>
        </w:tc>
        <w:tc>
          <w:tcPr>
            <w:tcW w:w="4360" w:type="dxa"/>
            <w:shd w:val="clear" w:color="auto" w:fill="BBC8A7"/>
            <w:vAlign w:val="center"/>
          </w:tcPr>
          <w:p w14:paraId="0D59A030"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Hallazgos</w:t>
            </w:r>
          </w:p>
        </w:tc>
        <w:tc>
          <w:tcPr>
            <w:tcW w:w="3578" w:type="dxa"/>
            <w:shd w:val="clear" w:color="auto" w:fill="BBC8A7"/>
            <w:vAlign w:val="center"/>
          </w:tcPr>
          <w:p w14:paraId="4263122D" w14:textId="77777777" w:rsidR="004F7558" w:rsidRPr="00F802F9" w:rsidRDefault="004F7558" w:rsidP="004F7558">
            <w:pPr>
              <w:jc w:val="center"/>
              <w:rPr>
                <w:rFonts w:ascii="Bodoni 72 Book" w:hAnsi="Bodoni 72 Book"/>
                <w:sz w:val="22"/>
                <w:szCs w:val="22"/>
                <w:lang w:val="es-ES"/>
              </w:rPr>
            </w:pPr>
            <w:r w:rsidRPr="00F802F9">
              <w:rPr>
                <w:rFonts w:ascii="Bodoni 72 Book" w:hAnsi="Bodoni 72 Book"/>
                <w:sz w:val="22"/>
                <w:szCs w:val="22"/>
                <w:lang w:val="es-ES"/>
              </w:rPr>
              <w:t>Medios de verificación</w:t>
            </w:r>
          </w:p>
        </w:tc>
      </w:tr>
      <w:tr w:rsidR="00F802F9" w:rsidRPr="00F802F9" w14:paraId="2F6A59FE" w14:textId="77777777" w:rsidTr="004F7558">
        <w:tc>
          <w:tcPr>
            <w:tcW w:w="4248" w:type="dxa"/>
          </w:tcPr>
          <w:p w14:paraId="0B796140"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 xml:space="preserve">¿Los procedimientos del GRM para presentar quejas y buscar acciones están disponibles públicamente, publicitados y comunicados a través de canales diferentes y culturalmente apropiados para todos los interesados, independientemente de su ubicación, idioma, educación o nivel de ingresos (por ejemplo, radio, sitio web, carteles, etc.)? </w:t>
            </w:r>
          </w:p>
          <w:p w14:paraId="4A94980F" w14:textId="77777777" w:rsidR="004F7558" w:rsidRPr="00F802F9" w:rsidRDefault="004F7558" w:rsidP="00CE0AF6">
            <w:pPr>
              <w:pStyle w:val="ListParagraph"/>
              <w:rPr>
                <w:rFonts w:ascii="Avenir Next" w:hAnsi="Avenir Next"/>
                <w:sz w:val="20"/>
                <w:szCs w:val="20"/>
                <w:lang w:val="es-ES"/>
              </w:rPr>
            </w:pPr>
          </w:p>
        </w:tc>
        <w:tc>
          <w:tcPr>
            <w:tcW w:w="2126" w:type="dxa"/>
          </w:tcPr>
          <w:p w14:paraId="419A600D" w14:textId="77777777" w:rsidR="004F7558" w:rsidRPr="00F802F9" w:rsidRDefault="004F7558" w:rsidP="00CE0AF6">
            <w:pPr>
              <w:rPr>
                <w:rFonts w:ascii="Avenir Next" w:hAnsi="Avenir Next"/>
                <w:sz w:val="20"/>
                <w:szCs w:val="20"/>
                <w:lang w:val="es-ES"/>
              </w:rPr>
            </w:pPr>
          </w:p>
        </w:tc>
        <w:tc>
          <w:tcPr>
            <w:tcW w:w="4360" w:type="dxa"/>
          </w:tcPr>
          <w:p w14:paraId="5A639C13" w14:textId="77777777" w:rsidR="004F7558" w:rsidRPr="00F802F9" w:rsidRDefault="004F7558" w:rsidP="00CE0AF6">
            <w:pPr>
              <w:rPr>
                <w:rFonts w:ascii="Avenir Next" w:hAnsi="Avenir Next"/>
                <w:sz w:val="20"/>
                <w:szCs w:val="20"/>
                <w:lang w:val="es-ES"/>
              </w:rPr>
            </w:pPr>
          </w:p>
        </w:tc>
        <w:tc>
          <w:tcPr>
            <w:tcW w:w="3578" w:type="dxa"/>
          </w:tcPr>
          <w:p w14:paraId="3A677E70" w14:textId="77777777" w:rsidR="004F7558" w:rsidRPr="00F802F9" w:rsidRDefault="004F7558" w:rsidP="00CE0AF6">
            <w:pPr>
              <w:rPr>
                <w:rFonts w:ascii="Avenir Next" w:hAnsi="Avenir Next"/>
                <w:sz w:val="20"/>
                <w:szCs w:val="20"/>
                <w:lang w:val="es-ES"/>
              </w:rPr>
            </w:pPr>
          </w:p>
        </w:tc>
      </w:tr>
      <w:tr w:rsidR="00F802F9" w:rsidRPr="00F802F9" w14:paraId="5E8E4F77" w14:textId="77777777" w:rsidTr="004F7558">
        <w:tc>
          <w:tcPr>
            <w:tcW w:w="4248" w:type="dxa"/>
          </w:tcPr>
          <w:p w14:paraId="1E0B2DCE"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 xml:space="preserve">¿Ofrece el GRM una variedad de </w:t>
            </w:r>
            <w:r w:rsidRPr="00F802F9">
              <w:rPr>
                <w:rFonts w:ascii="Avenir Next" w:hAnsi="Avenir Next"/>
                <w:sz w:val="20"/>
                <w:szCs w:val="20"/>
                <w:lang w:val="es-ES"/>
              </w:rPr>
              <w:lastRenderedPageBreak/>
              <w:t>canales para presentar quejas (por ejemplo, teléfono, carta, correo electrónico, sitio web, etc.)?</w:t>
            </w:r>
          </w:p>
          <w:p w14:paraId="2DE90B15" w14:textId="77777777" w:rsidR="004F7558" w:rsidRPr="00F802F9" w:rsidRDefault="004F7558" w:rsidP="00CE0AF6">
            <w:pPr>
              <w:pStyle w:val="ListParagraph"/>
              <w:rPr>
                <w:rFonts w:ascii="Avenir Next" w:hAnsi="Avenir Next"/>
                <w:sz w:val="20"/>
                <w:szCs w:val="20"/>
                <w:lang w:val="es-ES"/>
              </w:rPr>
            </w:pPr>
          </w:p>
        </w:tc>
        <w:tc>
          <w:tcPr>
            <w:tcW w:w="2126" w:type="dxa"/>
          </w:tcPr>
          <w:p w14:paraId="605AF6E6" w14:textId="77777777" w:rsidR="004F7558" w:rsidRPr="00F802F9" w:rsidRDefault="004F7558" w:rsidP="00CE0AF6">
            <w:pPr>
              <w:rPr>
                <w:rFonts w:ascii="Avenir Next" w:hAnsi="Avenir Next"/>
                <w:sz w:val="20"/>
                <w:szCs w:val="20"/>
                <w:lang w:val="es-ES"/>
              </w:rPr>
            </w:pPr>
          </w:p>
        </w:tc>
        <w:tc>
          <w:tcPr>
            <w:tcW w:w="4360" w:type="dxa"/>
          </w:tcPr>
          <w:p w14:paraId="1CBEC054" w14:textId="77777777" w:rsidR="004F7558" w:rsidRPr="00F802F9" w:rsidRDefault="004F7558" w:rsidP="00CE0AF6">
            <w:pPr>
              <w:rPr>
                <w:rFonts w:ascii="Avenir Next" w:hAnsi="Avenir Next"/>
                <w:sz w:val="20"/>
                <w:szCs w:val="20"/>
                <w:lang w:val="es-ES"/>
              </w:rPr>
            </w:pPr>
          </w:p>
        </w:tc>
        <w:tc>
          <w:tcPr>
            <w:tcW w:w="3578" w:type="dxa"/>
          </w:tcPr>
          <w:p w14:paraId="5CE52A22" w14:textId="77777777" w:rsidR="004F7558" w:rsidRPr="00F802F9" w:rsidRDefault="004F7558" w:rsidP="00CE0AF6">
            <w:pPr>
              <w:rPr>
                <w:rFonts w:ascii="Avenir Next" w:hAnsi="Avenir Next"/>
                <w:sz w:val="20"/>
                <w:szCs w:val="20"/>
                <w:lang w:val="es-ES"/>
              </w:rPr>
            </w:pPr>
          </w:p>
        </w:tc>
      </w:tr>
      <w:tr w:rsidR="00F802F9" w:rsidRPr="00F802F9" w14:paraId="1D142941" w14:textId="77777777" w:rsidTr="004F7558">
        <w:tc>
          <w:tcPr>
            <w:tcW w:w="4248" w:type="dxa"/>
          </w:tcPr>
          <w:p w14:paraId="148B5E67"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¿Se pueden presentar quejas de forma anónima y existen controles internos para garantizar el anonimato durante todo el proceso, cuando sea posible?</w:t>
            </w:r>
          </w:p>
          <w:p w14:paraId="41B1448C" w14:textId="77777777" w:rsidR="004F7558" w:rsidRPr="00F802F9" w:rsidRDefault="004F7558" w:rsidP="00CE0AF6">
            <w:pPr>
              <w:pStyle w:val="ListParagraph"/>
              <w:rPr>
                <w:rFonts w:ascii="Avenir Next" w:hAnsi="Avenir Next"/>
                <w:sz w:val="20"/>
                <w:szCs w:val="20"/>
                <w:lang w:val="es-ES"/>
              </w:rPr>
            </w:pPr>
          </w:p>
        </w:tc>
        <w:tc>
          <w:tcPr>
            <w:tcW w:w="2126" w:type="dxa"/>
          </w:tcPr>
          <w:p w14:paraId="489F925D" w14:textId="77777777" w:rsidR="004F7558" w:rsidRPr="00F802F9" w:rsidRDefault="004F7558" w:rsidP="00CE0AF6">
            <w:pPr>
              <w:rPr>
                <w:rFonts w:ascii="Avenir Next" w:hAnsi="Avenir Next"/>
                <w:sz w:val="20"/>
                <w:szCs w:val="20"/>
                <w:lang w:val="es-ES"/>
              </w:rPr>
            </w:pPr>
          </w:p>
        </w:tc>
        <w:tc>
          <w:tcPr>
            <w:tcW w:w="4360" w:type="dxa"/>
          </w:tcPr>
          <w:p w14:paraId="2CBEDC05" w14:textId="77777777" w:rsidR="004F7558" w:rsidRPr="00F802F9" w:rsidRDefault="004F7558" w:rsidP="00CE0AF6">
            <w:pPr>
              <w:rPr>
                <w:rFonts w:ascii="Avenir Next" w:hAnsi="Avenir Next"/>
                <w:sz w:val="20"/>
                <w:szCs w:val="20"/>
                <w:lang w:val="es-ES"/>
              </w:rPr>
            </w:pPr>
          </w:p>
        </w:tc>
        <w:tc>
          <w:tcPr>
            <w:tcW w:w="3578" w:type="dxa"/>
          </w:tcPr>
          <w:p w14:paraId="310B6450" w14:textId="77777777" w:rsidR="004F7558" w:rsidRPr="00F802F9" w:rsidRDefault="004F7558" w:rsidP="00CE0AF6">
            <w:pPr>
              <w:rPr>
                <w:rFonts w:ascii="Avenir Next" w:hAnsi="Avenir Next"/>
                <w:sz w:val="20"/>
                <w:szCs w:val="20"/>
                <w:lang w:val="es-ES"/>
              </w:rPr>
            </w:pPr>
          </w:p>
        </w:tc>
      </w:tr>
      <w:tr w:rsidR="004F7558" w:rsidRPr="00F802F9" w14:paraId="19A2ADA7" w14:textId="77777777" w:rsidTr="004F7558">
        <w:tc>
          <w:tcPr>
            <w:tcW w:w="14312" w:type="dxa"/>
            <w:gridSpan w:val="4"/>
            <w:shd w:val="clear" w:color="auto" w:fill="68807A"/>
            <w:vAlign w:val="center"/>
          </w:tcPr>
          <w:p w14:paraId="297F7470" w14:textId="77777777" w:rsidR="004F7558" w:rsidRPr="00F802F9" w:rsidRDefault="004F7558" w:rsidP="004F7558">
            <w:pPr>
              <w:widowControl w:val="0"/>
              <w:autoSpaceDE w:val="0"/>
              <w:autoSpaceDN w:val="0"/>
              <w:spacing w:before="67"/>
              <w:rPr>
                <w:rFonts w:ascii="Avenir Next Ultra Light" w:hAnsi="Avenir Next Ultra Light"/>
                <w:b/>
                <w:bCs/>
                <w:color w:val="FFFFFF" w:themeColor="background1"/>
                <w:lang w:val="es-ES"/>
              </w:rPr>
            </w:pPr>
            <w:r w:rsidRPr="00F802F9">
              <w:rPr>
                <w:rFonts w:ascii="Avenir Next Ultra Light" w:hAnsi="Avenir Next Ultra Light"/>
                <w:b/>
                <w:bCs/>
                <w:color w:val="FFFFFF" w:themeColor="background1"/>
                <w:lang w:val="es-ES"/>
              </w:rPr>
              <w:t>Previsibilidad</w:t>
            </w:r>
          </w:p>
        </w:tc>
      </w:tr>
      <w:tr w:rsidR="00F802F9" w:rsidRPr="00F802F9" w14:paraId="073FE827" w14:textId="77777777" w:rsidTr="00F802F9">
        <w:tc>
          <w:tcPr>
            <w:tcW w:w="4248" w:type="dxa"/>
            <w:shd w:val="clear" w:color="auto" w:fill="BBC8A7"/>
            <w:vAlign w:val="center"/>
          </w:tcPr>
          <w:p w14:paraId="10ECA5A7"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Preguntas</w:t>
            </w:r>
          </w:p>
        </w:tc>
        <w:tc>
          <w:tcPr>
            <w:tcW w:w="2126" w:type="dxa"/>
            <w:shd w:val="clear" w:color="auto" w:fill="BBC8A7"/>
            <w:vAlign w:val="center"/>
          </w:tcPr>
          <w:p w14:paraId="619BC42B"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Puntuación</w:t>
            </w:r>
          </w:p>
          <w:p w14:paraId="2FC190EB"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(Si/No/Parcialmente)</w:t>
            </w:r>
          </w:p>
        </w:tc>
        <w:tc>
          <w:tcPr>
            <w:tcW w:w="4360" w:type="dxa"/>
            <w:shd w:val="clear" w:color="auto" w:fill="BBC8A7"/>
            <w:vAlign w:val="center"/>
          </w:tcPr>
          <w:p w14:paraId="2FE16568"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Hallazgos</w:t>
            </w:r>
          </w:p>
        </w:tc>
        <w:tc>
          <w:tcPr>
            <w:tcW w:w="3578" w:type="dxa"/>
            <w:shd w:val="clear" w:color="auto" w:fill="BBC8A7"/>
            <w:vAlign w:val="center"/>
          </w:tcPr>
          <w:p w14:paraId="74FC1F0B"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Medios de verificación</w:t>
            </w:r>
          </w:p>
        </w:tc>
      </w:tr>
      <w:tr w:rsidR="00F802F9" w:rsidRPr="00F802F9" w14:paraId="274CFF0C" w14:textId="77777777" w:rsidTr="004F7558">
        <w:tc>
          <w:tcPr>
            <w:tcW w:w="4248" w:type="dxa"/>
          </w:tcPr>
          <w:p w14:paraId="39B9DD16"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¿El GRM cuenta con un procedimiento claro con tiempos establecidos para cada etapa y proporciona claridad sobre los tipos de resultados que puede y no puede ofrecer?</w:t>
            </w:r>
          </w:p>
          <w:p w14:paraId="2A636252" w14:textId="77777777" w:rsidR="004F7558" w:rsidRPr="00F802F9" w:rsidRDefault="004F7558" w:rsidP="00CE0AF6">
            <w:pPr>
              <w:pStyle w:val="ListParagraph"/>
              <w:rPr>
                <w:rFonts w:ascii="Avenir Next" w:hAnsi="Avenir Next"/>
                <w:sz w:val="20"/>
                <w:szCs w:val="20"/>
                <w:lang w:val="es-ES"/>
              </w:rPr>
            </w:pPr>
          </w:p>
        </w:tc>
        <w:tc>
          <w:tcPr>
            <w:tcW w:w="2126" w:type="dxa"/>
          </w:tcPr>
          <w:p w14:paraId="41BFA8A6" w14:textId="77777777" w:rsidR="004F7558" w:rsidRPr="00F802F9" w:rsidRDefault="004F7558" w:rsidP="00CE0AF6">
            <w:pPr>
              <w:rPr>
                <w:rFonts w:ascii="Avenir Next" w:hAnsi="Avenir Next"/>
                <w:sz w:val="20"/>
                <w:szCs w:val="20"/>
                <w:lang w:val="es-ES"/>
              </w:rPr>
            </w:pPr>
          </w:p>
        </w:tc>
        <w:tc>
          <w:tcPr>
            <w:tcW w:w="4360" w:type="dxa"/>
          </w:tcPr>
          <w:p w14:paraId="70B5BF5E" w14:textId="77777777" w:rsidR="004F7558" w:rsidRPr="00F802F9" w:rsidRDefault="004F7558" w:rsidP="00CE0AF6">
            <w:pPr>
              <w:rPr>
                <w:rFonts w:ascii="Avenir Next" w:hAnsi="Avenir Next"/>
                <w:sz w:val="20"/>
                <w:szCs w:val="20"/>
                <w:lang w:val="es-ES"/>
              </w:rPr>
            </w:pPr>
          </w:p>
        </w:tc>
        <w:tc>
          <w:tcPr>
            <w:tcW w:w="3578" w:type="dxa"/>
          </w:tcPr>
          <w:p w14:paraId="077B7BE7" w14:textId="77777777" w:rsidR="004F7558" w:rsidRPr="00F802F9" w:rsidRDefault="004F7558" w:rsidP="00CE0AF6">
            <w:pPr>
              <w:rPr>
                <w:rFonts w:ascii="Avenir Next" w:hAnsi="Avenir Next"/>
                <w:sz w:val="20"/>
                <w:szCs w:val="20"/>
                <w:lang w:val="es-ES"/>
              </w:rPr>
            </w:pPr>
          </w:p>
        </w:tc>
      </w:tr>
      <w:tr w:rsidR="00F802F9" w:rsidRPr="00F802F9" w14:paraId="6EC63813" w14:textId="77777777" w:rsidTr="004F7558">
        <w:tc>
          <w:tcPr>
            <w:tcW w:w="4248" w:type="dxa"/>
          </w:tcPr>
          <w:p w14:paraId="4FE136B1" w14:textId="77777777" w:rsidR="004F7558" w:rsidRPr="00F802F9" w:rsidRDefault="004F7558" w:rsidP="00CE0AF6">
            <w:pPr>
              <w:rPr>
                <w:rFonts w:ascii="Avenir Next" w:hAnsi="Avenir Next"/>
                <w:sz w:val="20"/>
                <w:szCs w:val="20"/>
                <w:lang w:val="es-ES"/>
              </w:rPr>
            </w:pPr>
          </w:p>
          <w:p w14:paraId="0DFBFB25" w14:textId="331C30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 xml:space="preserve">¿El GRM ofrece por escrito acuses de recibido de la recepción de quejas y solicitudes? ¿Los acuse de recibido proporcionan información sobre el procedimiento a seguir, datos de </w:t>
            </w:r>
            <w:r w:rsidR="00BB07DA" w:rsidRPr="00F802F9">
              <w:rPr>
                <w:rFonts w:ascii="Avenir Next" w:hAnsi="Avenir Next"/>
                <w:sz w:val="20"/>
                <w:szCs w:val="20"/>
                <w:lang w:val="es-ES"/>
              </w:rPr>
              <w:t>contacto,</w:t>
            </w:r>
            <w:r w:rsidRPr="00F802F9">
              <w:rPr>
                <w:rFonts w:ascii="Avenir Next" w:hAnsi="Avenir Next"/>
                <w:sz w:val="20"/>
                <w:szCs w:val="20"/>
                <w:lang w:val="es-ES"/>
              </w:rPr>
              <w:t xml:space="preserve"> así como el tiempo estimado de respuesta?</w:t>
            </w:r>
          </w:p>
          <w:p w14:paraId="16DE81ED" w14:textId="77777777" w:rsidR="004F7558" w:rsidRPr="00F802F9" w:rsidRDefault="004F7558" w:rsidP="00CE0AF6">
            <w:pPr>
              <w:rPr>
                <w:rFonts w:ascii="Avenir Next" w:hAnsi="Avenir Next"/>
                <w:sz w:val="20"/>
                <w:szCs w:val="20"/>
                <w:lang w:val="es-ES"/>
              </w:rPr>
            </w:pPr>
          </w:p>
        </w:tc>
        <w:tc>
          <w:tcPr>
            <w:tcW w:w="2126" w:type="dxa"/>
          </w:tcPr>
          <w:p w14:paraId="712B1F83" w14:textId="77777777" w:rsidR="004F7558" w:rsidRPr="00F802F9" w:rsidRDefault="004F7558" w:rsidP="00CE0AF6">
            <w:pPr>
              <w:rPr>
                <w:rFonts w:ascii="Avenir Next" w:hAnsi="Avenir Next"/>
                <w:sz w:val="20"/>
                <w:szCs w:val="20"/>
                <w:lang w:val="es-ES"/>
              </w:rPr>
            </w:pPr>
          </w:p>
        </w:tc>
        <w:tc>
          <w:tcPr>
            <w:tcW w:w="4360" w:type="dxa"/>
          </w:tcPr>
          <w:p w14:paraId="1E64CA32" w14:textId="77777777" w:rsidR="004F7558" w:rsidRPr="00F802F9" w:rsidRDefault="004F7558" w:rsidP="00CE0AF6">
            <w:pPr>
              <w:rPr>
                <w:rFonts w:ascii="Avenir Next" w:hAnsi="Avenir Next"/>
                <w:sz w:val="20"/>
                <w:szCs w:val="20"/>
                <w:lang w:val="es-ES"/>
              </w:rPr>
            </w:pPr>
          </w:p>
        </w:tc>
        <w:tc>
          <w:tcPr>
            <w:tcW w:w="3578" w:type="dxa"/>
          </w:tcPr>
          <w:p w14:paraId="1BAD9F55" w14:textId="77777777" w:rsidR="004F7558" w:rsidRPr="00F802F9" w:rsidRDefault="004F7558" w:rsidP="00CE0AF6">
            <w:pPr>
              <w:rPr>
                <w:rFonts w:ascii="Avenir Next" w:hAnsi="Avenir Next"/>
                <w:sz w:val="20"/>
                <w:szCs w:val="20"/>
                <w:lang w:val="es-ES"/>
              </w:rPr>
            </w:pPr>
          </w:p>
        </w:tc>
      </w:tr>
      <w:tr w:rsidR="004F7558" w:rsidRPr="00F802F9" w14:paraId="5E961D82" w14:textId="77777777" w:rsidTr="004F7558">
        <w:tc>
          <w:tcPr>
            <w:tcW w:w="14312" w:type="dxa"/>
            <w:gridSpan w:val="4"/>
            <w:shd w:val="clear" w:color="auto" w:fill="68807A"/>
          </w:tcPr>
          <w:p w14:paraId="45621395" w14:textId="77777777" w:rsidR="004F7558" w:rsidRPr="00F802F9" w:rsidRDefault="004F7558" w:rsidP="00CE0AF6">
            <w:pPr>
              <w:rPr>
                <w:rFonts w:ascii="Avenir Next Ultra Light" w:hAnsi="Avenir Next Ultra Light"/>
                <w:b/>
                <w:bCs/>
                <w:color w:val="FFFFFF" w:themeColor="background1"/>
                <w:lang w:val="es-ES"/>
              </w:rPr>
            </w:pPr>
            <w:r w:rsidRPr="00F802F9">
              <w:rPr>
                <w:rFonts w:ascii="Avenir Next Ultra Light" w:hAnsi="Avenir Next Ultra Light"/>
                <w:b/>
                <w:bCs/>
                <w:color w:val="FFFFFF" w:themeColor="background1"/>
                <w:lang w:val="es-ES"/>
              </w:rPr>
              <w:t>Equitativo</w:t>
            </w:r>
          </w:p>
        </w:tc>
      </w:tr>
      <w:tr w:rsidR="00F802F9" w:rsidRPr="00F802F9" w14:paraId="2D9A2613" w14:textId="77777777" w:rsidTr="00F802F9">
        <w:tc>
          <w:tcPr>
            <w:tcW w:w="4248" w:type="dxa"/>
            <w:shd w:val="clear" w:color="auto" w:fill="BBC8A7"/>
            <w:vAlign w:val="center"/>
          </w:tcPr>
          <w:p w14:paraId="3FF6F106"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Preguntas</w:t>
            </w:r>
          </w:p>
        </w:tc>
        <w:tc>
          <w:tcPr>
            <w:tcW w:w="2126" w:type="dxa"/>
            <w:shd w:val="clear" w:color="auto" w:fill="BBC8A7"/>
            <w:vAlign w:val="center"/>
          </w:tcPr>
          <w:p w14:paraId="7F894320"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Puntuación</w:t>
            </w:r>
          </w:p>
          <w:p w14:paraId="4FE11B8F"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(Si/No/Parcialmente)</w:t>
            </w:r>
          </w:p>
        </w:tc>
        <w:tc>
          <w:tcPr>
            <w:tcW w:w="4360" w:type="dxa"/>
            <w:shd w:val="clear" w:color="auto" w:fill="BBC8A7"/>
            <w:vAlign w:val="center"/>
          </w:tcPr>
          <w:p w14:paraId="09EB1D3C"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Hallazgos</w:t>
            </w:r>
          </w:p>
        </w:tc>
        <w:tc>
          <w:tcPr>
            <w:tcW w:w="3578" w:type="dxa"/>
            <w:shd w:val="clear" w:color="auto" w:fill="BBC8A7"/>
            <w:vAlign w:val="center"/>
          </w:tcPr>
          <w:p w14:paraId="1BCD49EF"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Medios de verificación</w:t>
            </w:r>
          </w:p>
        </w:tc>
      </w:tr>
      <w:tr w:rsidR="00F802F9" w:rsidRPr="00F802F9" w14:paraId="178DBC14" w14:textId="77777777" w:rsidTr="004F7558">
        <w:tc>
          <w:tcPr>
            <w:tcW w:w="4248" w:type="dxa"/>
          </w:tcPr>
          <w:p w14:paraId="0DB36EFD"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lastRenderedPageBreak/>
              <w:t xml:space="preserve">¿El GRM ofrece a las partes agraviadas acceso razonable al asesoramiento y la experiencia necesarios para participar en un proceso de reclamación en igualdad de condiciones con plena información y respeto?  </w:t>
            </w:r>
          </w:p>
          <w:p w14:paraId="37B58959" w14:textId="77777777" w:rsidR="004F7558" w:rsidRPr="00F802F9" w:rsidRDefault="004F7558" w:rsidP="00CE0AF6">
            <w:pPr>
              <w:pStyle w:val="ListParagraph"/>
              <w:rPr>
                <w:rFonts w:ascii="Avenir Next" w:hAnsi="Avenir Next"/>
                <w:sz w:val="20"/>
                <w:szCs w:val="20"/>
                <w:lang w:val="es-ES"/>
              </w:rPr>
            </w:pPr>
          </w:p>
        </w:tc>
        <w:tc>
          <w:tcPr>
            <w:tcW w:w="2126" w:type="dxa"/>
          </w:tcPr>
          <w:p w14:paraId="4A62DFF7" w14:textId="77777777" w:rsidR="004F7558" w:rsidRPr="00F802F9" w:rsidRDefault="004F7558" w:rsidP="00CE0AF6">
            <w:pPr>
              <w:rPr>
                <w:rFonts w:ascii="Avenir Next" w:hAnsi="Avenir Next"/>
                <w:sz w:val="20"/>
                <w:szCs w:val="20"/>
                <w:lang w:val="es-ES"/>
              </w:rPr>
            </w:pPr>
          </w:p>
        </w:tc>
        <w:tc>
          <w:tcPr>
            <w:tcW w:w="4360" w:type="dxa"/>
          </w:tcPr>
          <w:p w14:paraId="4E36EF41" w14:textId="77777777" w:rsidR="004F7558" w:rsidRPr="00F802F9" w:rsidRDefault="004F7558" w:rsidP="00CE0AF6">
            <w:pPr>
              <w:rPr>
                <w:rFonts w:ascii="Avenir Next" w:hAnsi="Avenir Next"/>
                <w:sz w:val="20"/>
                <w:szCs w:val="20"/>
                <w:lang w:val="es-ES"/>
              </w:rPr>
            </w:pPr>
          </w:p>
        </w:tc>
        <w:tc>
          <w:tcPr>
            <w:tcW w:w="3578" w:type="dxa"/>
          </w:tcPr>
          <w:p w14:paraId="2C85795D" w14:textId="77777777" w:rsidR="004F7558" w:rsidRPr="00F802F9" w:rsidRDefault="004F7558" w:rsidP="00CE0AF6">
            <w:pPr>
              <w:rPr>
                <w:rFonts w:ascii="Avenir Next" w:hAnsi="Avenir Next"/>
                <w:sz w:val="20"/>
                <w:szCs w:val="20"/>
                <w:lang w:val="es-ES"/>
              </w:rPr>
            </w:pPr>
          </w:p>
        </w:tc>
      </w:tr>
      <w:tr w:rsidR="00F802F9" w:rsidRPr="00F802F9" w14:paraId="53EB209E" w14:textId="77777777" w:rsidTr="004F7558">
        <w:tc>
          <w:tcPr>
            <w:tcW w:w="4248" w:type="dxa"/>
          </w:tcPr>
          <w:p w14:paraId="33751632"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¿El acceso al GRM es gratuito?</w:t>
            </w:r>
          </w:p>
          <w:p w14:paraId="2DE14838" w14:textId="77777777" w:rsidR="004F7558" w:rsidRPr="00F802F9" w:rsidRDefault="004F7558" w:rsidP="00CE0AF6">
            <w:pPr>
              <w:pStyle w:val="ListParagraph"/>
              <w:ind w:left="0"/>
              <w:rPr>
                <w:rFonts w:ascii="Avenir Next" w:hAnsi="Avenir Next"/>
                <w:sz w:val="20"/>
                <w:szCs w:val="20"/>
                <w:lang w:val="es-ES"/>
              </w:rPr>
            </w:pPr>
          </w:p>
        </w:tc>
        <w:tc>
          <w:tcPr>
            <w:tcW w:w="2126" w:type="dxa"/>
          </w:tcPr>
          <w:p w14:paraId="369C4DD5" w14:textId="77777777" w:rsidR="004F7558" w:rsidRPr="00F802F9" w:rsidRDefault="004F7558" w:rsidP="00CE0AF6">
            <w:pPr>
              <w:rPr>
                <w:rFonts w:ascii="Avenir Next" w:hAnsi="Avenir Next"/>
                <w:sz w:val="20"/>
                <w:szCs w:val="20"/>
                <w:lang w:val="es-ES"/>
              </w:rPr>
            </w:pPr>
          </w:p>
        </w:tc>
        <w:tc>
          <w:tcPr>
            <w:tcW w:w="4360" w:type="dxa"/>
          </w:tcPr>
          <w:p w14:paraId="2562B4C7" w14:textId="77777777" w:rsidR="004F7558" w:rsidRPr="00F802F9" w:rsidRDefault="004F7558" w:rsidP="00CE0AF6">
            <w:pPr>
              <w:rPr>
                <w:rFonts w:ascii="Avenir Next" w:hAnsi="Avenir Next"/>
                <w:sz w:val="20"/>
                <w:szCs w:val="20"/>
                <w:lang w:val="es-ES"/>
              </w:rPr>
            </w:pPr>
          </w:p>
        </w:tc>
        <w:tc>
          <w:tcPr>
            <w:tcW w:w="3578" w:type="dxa"/>
          </w:tcPr>
          <w:p w14:paraId="56BE0C4F" w14:textId="77777777" w:rsidR="004F7558" w:rsidRPr="00F802F9" w:rsidRDefault="004F7558" w:rsidP="00CE0AF6">
            <w:pPr>
              <w:rPr>
                <w:rFonts w:ascii="Avenir Next" w:hAnsi="Avenir Next"/>
                <w:sz w:val="20"/>
                <w:szCs w:val="20"/>
                <w:lang w:val="es-ES"/>
              </w:rPr>
            </w:pPr>
          </w:p>
        </w:tc>
      </w:tr>
      <w:tr w:rsidR="004F7558" w:rsidRPr="00F802F9" w14:paraId="405021EC" w14:textId="77777777" w:rsidTr="004F7558">
        <w:tc>
          <w:tcPr>
            <w:tcW w:w="14312" w:type="dxa"/>
            <w:gridSpan w:val="4"/>
            <w:shd w:val="clear" w:color="auto" w:fill="68807A"/>
          </w:tcPr>
          <w:p w14:paraId="7E4F3924" w14:textId="77777777" w:rsidR="004F7558" w:rsidRPr="00F802F9" w:rsidRDefault="004F7558" w:rsidP="00CE0AF6">
            <w:pPr>
              <w:widowControl w:val="0"/>
              <w:autoSpaceDE w:val="0"/>
              <w:autoSpaceDN w:val="0"/>
              <w:spacing w:before="67"/>
              <w:rPr>
                <w:rFonts w:ascii="Avenir Next Ultra Light" w:hAnsi="Avenir Next Ultra Light"/>
                <w:b/>
                <w:bCs/>
                <w:color w:val="FFFFFF" w:themeColor="background1"/>
                <w:lang w:val="es-ES"/>
              </w:rPr>
            </w:pPr>
            <w:r w:rsidRPr="00F802F9">
              <w:rPr>
                <w:rFonts w:ascii="Avenir Next Ultra Light" w:hAnsi="Avenir Next Ultra Light"/>
                <w:b/>
                <w:bCs/>
                <w:color w:val="FFFFFF" w:themeColor="background1"/>
                <w:lang w:val="es-ES"/>
              </w:rPr>
              <w:t>Derechos compatibles</w:t>
            </w:r>
          </w:p>
        </w:tc>
      </w:tr>
      <w:tr w:rsidR="00F802F9" w:rsidRPr="00F802F9" w14:paraId="515C35B3" w14:textId="77777777" w:rsidTr="00F802F9">
        <w:tc>
          <w:tcPr>
            <w:tcW w:w="4248" w:type="dxa"/>
            <w:shd w:val="clear" w:color="auto" w:fill="BBC8A7"/>
            <w:vAlign w:val="center"/>
          </w:tcPr>
          <w:p w14:paraId="5D3240B6"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Preguntas</w:t>
            </w:r>
          </w:p>
        </w:tc>
        <w:tc>
          <w:tcPr>
            <w:tcW w:w="2126" w:type="dxa"/>
            <w:shd w:val="clear" w:color="auto" w:fill="BBC8A7"/>
            <w:vAlign w:val="center"/>
          </w:tcPr>
          <w:p w14:paraId="6BE9681F"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Puntuación</w:t>
            </w:r>
          </w:p>
          <w:p w14:paraId="744C5D94"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(Si/No/Parcialmente)</w:t>
            </w:r>
          </w:p>
        </w:tc>
        <w:tc>
          <w:tcPr>
            <w:tcW w:w="4360" w:type="dxa"/>
            <w:shd w:val="clear" w:color="auto" w:fill="BBC8A7"/>
            <w:vAlign w:val="center"/>
          </w:tcPr>
          <w:p w14:paraId="30AEDB65"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Hallazgos</w:t>
            </w:r>
          </w:p>
        </w:tc>
        <w:tc>
          <w:tcPr>
            <w:tcW w:w="3578" w:type="dxa"/>
            <w:shd w:val="clear" w:color="auto" w:fill="BBC8A7"/>
            <w:vAlign w:val="center"/>
          </w:tcPr>
          <w:p w14:paraId="3F23896F"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Medios de verificación</w:t>
            </w:r>
          </w:p>
        </w:tc>
      </w:tr>
      <w:tr w:rsidR="00F802F9" w:rsidRPr="00F802F9" w14:paraId="5632ADB7" w14:textId="77777777" w:rsidTr="004F7558">
        <w:tc>
          <w:tcPr>
            <w:tcW w:w="4248" w:type="dxa"/>
          </w:tcPr>
          <w:p w14:paraId="5984EDB7"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¿Existe una encuesta de usuarios para obtener comentarios sobre la credibilidad del mecanismo? ¿Están esos comentarios disponibles públicamente?</w:t>
            </w:r>
          </w:p>
          <w:p w14:paraId="5BA06F94" w14:textId="77777777" w:rsidR="004F7558" w:rsidRPr="00F802F9" w:rsidRDefault="004F7558" w:rsidP="00CE0AF6">
            <w:pPr>
              <w:pStyle w:val="ListParagraph"/>
              <w:rPr>
                <w:rFonts w:ascii="Avenir Next" w:hAnsi="Avenir Next"/>
                <w:sz w:val="20"/>
                <w:szCs w:val="20"/>
                <w:lang w:val="es-ES"/>
              </w:rPr>
            </w:pPr>
          </w:p>
        </w:tc>
        <w:tc>
          <w:tcPr>
            <w:tcW w:w="2126" w:type="dxa"/>
          </w:tcPr>
          <w:p w14:paraId="34E56266" w14:textId="77777777" w:rsidR="004F7558" w:rsidRPr="00F802F9" w:rsidRDefault="004F7558" w:rsidP="00CE0AF6">
            <w:pPr>
              <w:rPr>
                <w:rFonts w:ascii="Avenir Next" w:hAnsi="Avenir Next"/>
                <w:sz w:val="20"/>
                <w:szCs w:val="20"/>
                <w:lang w:val="es-ES"/>
              </w:rPr>
            </w:pPr>
          </w:p>
        </w:tc>
        <w:tc>
          <w:tcPr>
            <w:tcW w:w="4360" w:type="dxa"/>
          </w:tcPr>
          <w:p w14:paraId="5EFCB087" w14:textId="77777777" w:rsidR="004F7558" w:rsidRPr="00F802F9" w:rsidRDefault="004F7558" w:rsidP="00CE0AF6">
            <w:pPr>
              <w:rPr>
                <w:rFonts w:ascii="Avenir Next" w:hAnsi="Avenir Next"/>
                <w:sz w:val="20"/>
                <w:szCs w:val="20"/>
                <w:lang w:val="es-ES"/>
              </w:rPr>
            </w:pPr>
          </w:p>
        </w:tc>
        <w:tc>
          <w:tcPr>
            <w:tcW w:w="3578" w:type="dxa"/>
          </w:tcPr>
          <w:p w14:paraId="1F0D2434" w14:textId="77777777" w:rsidR="004F7558" w:rsidRPr="00F802F9" w:rsidRDefault="004F7558" w:rsidP="00CE0AF6">
            <w:pPr>
              <w:rPr>
                <w:rFonts w:ascii="Avenir Next" w:hAnsi="Avenir Next"/>
                <w:sz w:val="20"/>
                <w:szCs w:val="20"/>
                <w:lang w:val="es-ES"/>
              </w:rPr>
            </w:pPr>
          </w:p>
        </w:tc>
      </w:tr>
      <w:tr w:rsidR="00F802F9" w:rsidRPr="00F802F9" w14:paraId="1D1BABCE" w14:textId="77777777" w:rsidTr="004F7558">
        <w:tc>
          <w:tcPr>
            <w:tcW w:w="4248" w:type="dxa"/>
          </w:tcPr>
          <w:p w14:paraId="713F229D"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¿Existe derecho a apelar? En caso afirmativo, ¿se informa a los usuarios de su derecho a apelar? ¿Están informados de sus cronogramas y opciones?</w:t>
            </w:r>
          </w:p>
          <w:p w14:paraId="1E1FD8C6" w14:textId="77777777" w:rsidR="004F7558" w:rsidRPr="00F802F9" w:rsidRDefault="004F7558" w:rsidP="00CE0AF6">
            <w:pPr>
              <w:pStyle w:val="ListParagraph"/>
              <w:rPr>
                <w:rFonts w:ascii="Avenir Next" w:hAnsi="Avenir Next"/>
                <w:sz w:val="20"/>
                <w:szCs w:val="20"/>
                <w:lang w:val="es-ES"/>
              </w:rPr>
            </w:pPr>
          </w:p>
        </w:tc>
        <w:tc>
          <w:tcPr>
            <w:tcW w:w="2126" w:type="dxa"/>
          </w:tcPr>
          <w:p w14:paraId="46CBE172" w14:textId="77777777" w:rsidR="004F7558" w:rsidRPr="00F802F9" w:rsidRDefault="004F7558" w:rsidP="00CE0AF6">
            <w:pPr>
              <w:rPr>
                <w:rFonts w:ascii="Avenir Next" w:hAnsi="Avenir Next"/>
                <w:sz w:val="20"/>
                <w:szCs w:val="20"/>
                <w:lang w:val="es-ES"/>
              </w:rPr>
            </w:pPr>
          </w:p>
        </w:tc>
        <w:tc>
          <w:tcPr>
            <w:tcW w:w="4360" w:type="dxa"/>
          </w:tcPr>
          <w:p w14:paraId="1694B120" w14:textId="77777777" w:rsidR="004F7558" w:rsidRPr="00F802F9" w:rsidRDefault="004F7558" w:rsidP="00CE0AF6">
            <w:pPr>
              <w:rPr>
                <w:rFonts w:ascii="Avenir Next" w:hAnsi="Avenir Next"/>
                <w:sz w:val="20"/>
                <w:szCs w:val="20"/>
                <w:lang w:val="es-ES"/>
              </w:rPr>
            </w:pPr>
          </w:p>
        </w:tc>
        <w:tc>
          <w:tcPr>
            <w:tcW w:w="3578" w:type="dxa"/>
          </w:tcPr>
          <w:p w14:paraId="615BE2E1" w14:textId="77777777" w:rsidR="004F7558" w:rsidRPr="00F802F9" w:rsidRDefault="004F7558" w:rsidP="00CE0AF6">
            <w:pPr>
              <w:rPr>
                <w:rFonts w:ascii="Avenir Next" w:hAnsi="Avenir Next"/>
                <w:sz w:val="20"/>
                <w:szCs w:val="20"/>
                <w:lang w:val="es-ES"/>
              </w:rPr>
            </w:pPr>
          </w:p>
        </w:tc>
      </w:tr>
      <w:tr w:rsidR="00F802F9" w:rsidRPr="00F802F9" w14:paraId="04114A2B" w14:textId="77777777" w:rsidTr="004F7558">
        <w:tc>
          <w:tcPr>
            <w:tcW w:w="4248" w:type="dxa"/>
          </w:tcPr>
          <w:p w14:paraId="499ABE0D"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¿Está restringido el acceso a otros mecanismos de reclamaciones?</w:t>
            </w:r>
          </w:p>
          <w:p w14:paraId="5079C5C0" w14:textId="77777777" w:rsidR="004F7558" w:rsidRPr="00F802F9" w:rsidRDefault="004F7558" w:rsidP="00CE0AF6">
            <w:pPr>
              <w:pStyle w:val="ListParagraph"/>
              <w:rPr>
                <w:rFonts w:ascii="Avenir Next" w:hAnsi="Avenir Next"/>
                <w:sz w:val="20"/>
                <w:szCs w:val="20"/>
                <w:lang w:val="es-ES"/>
              </w:rPr>
            </w:pPr>
          </w:p>
        </w:tc>
        <w:tc>
          <w:tcPr>
            <w:tcW w:w="2126" w:type="dxa"/>
          </w:tcPr>
          <w:p w14:paraId="6AA42619" w14:textId="77777777" w:rsidR="004F7558" w:rsidRPr="00F802F9" w:rsidRDefault="004F7558" w:rsidP="00CE0AF6">
            <w:pPr>
              <w:rPr>
                <w:rFonts w:ascii="Avenir Next" w:hAnsi="Avenir Next"/>
                <w:sz w:val="20"/>
                <w:szCs w:val="20"/>
                <w:lang w:val="es-ES"/>
              </w:rPr>
            </w:pPr>
          </w:p>
        </w:tc>
        <w:tc>
          <w:tcPr>
            <w:tcW w:w="4360" w:type="dxa"/>
          </w:tcPr>
          <w:p w14:paraId="365674A2" w14:textId="77777777" w:rsidR="004F7558" w:rsidRPr="00F802F9" w:rsidRDefault="004F7558" w:rsidP="00CE0AF6">
            <w:pPr>
              <w:rPr>
                <w:rFonts w:ascii="Avenir Next" w:hAnsi="Avenir Next"/>
                <w:sz w:val="20"/>
                <w:szCs w:val="20"/>
                <w:lang w:val="es-ES"/>
              </w:rPr>
            </w:pPr>
          </w:p>
        </w:tc>
        <w:tc>
          <w:tcPr>
            <w:tcW w:w="3578" w:type="dxa"/>
          </w:tcPr>
          <w:p w14:paraId="2DC545BE" w14:textId="77777777" w:rsidR="004F7558" w:rsidRPr="00F802F9" w:rsidRDefault="004F7558" w:rsidP="00CE0AF6">
            <w:pPr>
              <w:rPr>
                <w:rFonts w:ascii="Avenir Next" w:hAnsi="Avenir Next"/>
                <w:sz w:val="20"/>
                <w:szCs w:val="20"/>
                <w:lang w:val="es-ES"/>
              </w:rPr>
            </w:pPr>
          </w:p>
        </w:tc>
      </w:tr>
      <w:tr w:rsidR="004F7558" w:rsidRPr="00F802F9" w14:paraId="70C13DE5" w14:textId="77777777" w:rsidTr="004F7558">
        <w:tc>
          <w:tcPr>
            <w:tcW w:w="14312" w:type="dxa"/>
            <w:gridSpan w:val="4"/>
            <w:shd w:val="clear" w:color="auto" w:fill="68807A"/>
          </w:tcPr>
          <w:p w14:paraId="2656F351" w14:textId="77777777" w:rsidR="004F7558" w:rsidRPr="00F802F9" w:rsidRDefault="004F7558" w:rsidP="00CE0AF6">
            <w:pPr>
              <w:rPr>
                <w:rFonts w:ascii="Avenir Next Ultra Light" w:hAnsi="Avenir Next Ultra Light"/>
                <w:b/>
                <w:bCs/>
                <w:color w:val="FFFFFF" w:themeColor="background1"/>
                <w:lang w:val="es-ES"/>
              </w:rPr>
            </w:pPr>
            <w:r w:rsidRPr="00F802F9">
              <w:rPr>
                <w:rFonts w:ascii="Avenir Next Ultra Light" w:hAnsi="Avenir Next Ultra Light"/>
                <w:b/>
                <w:bCs/>
                <w:color w:val="FFFFFF" w:themeColor="background1"/>
                <w:lang w:val="es-ES"/>
              </w:rPr>
              <w:t>Permitir el aprendizaje continuo</w:t>
            </w:r>
          </w:p>
        </w:tc>
      </w:tr>
      <w:tr w:rsidR="00F802F9" w:rsidRPr="00F802F9" w14:paraId="063AFD21" w14:textId="77777777" w:rsidTr="00F802F9">
        <w:tc>
          <w:tcPr>
            <w:tcW w:w="4248" w:type="dxa"/>
            <w:shd w:val="clear" w:color="auto" w:fill="BBC8A7"/>
            <w:vAlign w:val="center"/>
          </w:tcPr>
          <w:p w14:paraId="4070615E"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Preguntas</w:t>
            </w:r>
          </w:p>
        </w:tc>
        <w:tc>
          <w:tcPr>
            <w:tcW w:w="2126" w:type="dxa"/>
            <w:shd w:val="clear" w:color="auto" w:fill="BBC8A7"/>
            <w:vAlign w:val="center"/>
          </w:tcPr>
          <w:p w14:paraId="325431A2"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Puntuación</w:t>
            </w:r>
          </w:p>
          <w:p w14:paraId="6300EF90"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(Si/No/Parcialmente)</w:t>
            </w:r>
          </w:p>
        </w:tc>
        <w:tc>
          <w:tcPr>
            <w:tcW w:w="4360" w:type="dxa"/>
            <w:shd w:val="clear" w:color="auto" w:fill="BBC8A7"/>
            <w:vAlign w:val="center"/>
          </w:tcPr>
          <w:p w14:paraId="35F34DBE"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Hallazgos</w:t>
            </w:r>
          </w:p>
        </w:tc>
        <w:tc>
          <w:tcPr>
            <w:tcW w:w="3578" w:type="dxa"/>
            <w:shd w:val="clear" w:color="auto" w:fill="BBC8A7"/>
            <w:vAlign w:val="center"/>
          </w:tcPr>
          <w:p w14:paraId="51FA311D" w14:textId="77777777" w:rsidR="004F7558" w:rsidRPr="00F802F9" w:rsidRDefault="004F7558" w:rsidP="00F802F9">
            <w:pPr>
              <w:jc w:val="center"/>
              <w:rPr>
                <w:rFonts w:ascii="Bodoni 72 Book" w:hAnsi="Bodoni 72 Book"/>
                <w:sz w:val="22"/>
                <w:szCs w:val="22"/>
                <w:lang w:val="es-ES"/>
              </w:rPr>
            </w:pPr>
            <w:r w:rsidRPr="00F802F9">
              <w:rPr>
                <w:rFonts w:ascii="Bodoni 72 Book" w:hAnsi="Bodoni 72 Book"/>
                <w:sz w:val="22"/>
                <w:szCs w:val="22"/>
                <w:lang w:val="es-ES"/>
              </w:rPr>
              <w:t>Medios de verificación</w:t>
            </w:r>
          </w:p>
        </w:tc>
      </w:tr>
      <w:tr w:rsidR="00F802F9" w:rsidRPr="00F802F9" w14:paraId="778573FC" w14:textId="77777777" w:rsidTr="004F7558">
        <w:tc>
          <w:tcPr>
            <w:tcW w:w="4248" w:type="dxa"/>
          </w:tcPr>
          <w:p w14:paraId="200D9B6E" w14:textId="77777777" w:rsidR="004F7558" w:rsidRPr="00F802F9" w:rsidRDefault="004F7558" w:rsidP="00CE0AF6">
            <w:pPr>
              <w:rPr>
                <w:rFonts w:ascii="Avenir Next" w:hAnsi="Avenir Next"/>
                <w:sz w:val="20"/>
                <w:szCs w:val="20"/>
                <w:lang w:val="es-ES"/>
              </w:rPr>
            </w:pPr>
          </w:p>
          <w:p w14:paraId="45108687" w14:textId="77777777" w:rsidR="004F7558" w:rsidRPr="00F802F9" w:rsidRDefault="004F7558" w:rsidP="004F7558">
            <w:pPr>
              <w:pStyle w:val="ListParagraph"/>
              <w:numPr>
                <w:ilvl w:val="0"/>
                <w:numId w:val="14"/>
              </w:numPr>
              <w:rPr>
                <w:rFonts w:ascii="Avenir Next" w:hAnsi="Avenir Next"/>
                <w:sz w:val="20"/>
                <w:szCs w:val="20"/>
                <w:lang w:val="es-ES"/>
              </w:rPr>
            </w:pPr>
            <w:r w:rsidRPr="00F802F9">
              <w:rPr>
                <w:rFonts w:ascii="Avenir Next" w:hAnsi="Avenir Next"/>
                <w:sz w:val="20"/>
                <w:szCs w:val="20"/>
                <w:lang w:val="es-ES"/>
              </w:rPr>
              <w:t>Si se recopilan datos, ¿se utilizan estos datos para realizar cambios en las políticas para minimizar quejas similares en el futuro?</w:t>
            </w:r>
          </w:p>
        </w:tc>
        <w:tc>
          <w:tcPr>
            <w:tcW w:w="2126" w:type="dxa"/>
          </w:tcPr>
          <w:p w14:paraId="2605D265" w14:textId="77777777" w:rsidR="004F7558" w:rsidRPr="00F802F9" w:rsidRDefault="004F7558" w:rsidP="00CE0AF6">
            <w:pPr>
              <w:rPr>
                <w:rFonts w:ascii="Avenir Next" w:hAnsi="Avenir Next"/>
                <w:sz w:val="20"/>
                <w:szCs w:val="20"/>
                <w:lang w:val="es-ES"/>
              </w:rPr>
            </w:pPr>
          </w:p>
        </w:tc>
        <w:tc>
          <w:tcPr>
            <w:tcW w:w="4360" w:type="dxa"/>
          </w:tcPr>
          <w:p w14:paraId="48652F01" w14:textId="77777777" w:rsidR="004F7558" w:rsidRPr="00F802F9" w:rsidRDefault="004F7558" w:rsidP="00CE0AF6">
            <w:pPr>
              <w:rPr>
                <w:rFonts w:ascii="Avenir Next" w:hAnsi="Avenir Next"/>
                <w:sz w:val="20"/>
                <w:szCs w:val="20"/>
                <w:lang w:val="es-ES"/>
              </w:rPr>
            </w:pPr>
          </w:p>
        </w:tc>
        <w:tc>
          <w:tcPr>
            <w:tcW w:w="3578" w:type="dxa"/>
          </w:tcPr>
          <w:p w14:paraId="6CC909AF" w14:textId="77777777" w:rsidR="004F7558" w:rsidRPr="00F802F9" w:rsidRDefault="004F7558" w:rsidP="00CE0AF6">
            <w:pPr>
              <w:rPr>
                <w:rFonts w:ascii="Avenir Next" w:hAnsi="Avenir Next"/>
                <w:sz w:val="20"/>
                <w:szCs w:val="20"/>
                <w:lang w:val="es-ES"/>
              </w:rPr>
            </w:pPr>
          </w:p>
        </w:tc>
      </w:tr>
    </w:tbl>
    <w:p w14:paraId="2FDED301" w14:textId="77777777" w:rsidR="004F7558" w:rsidRDefault="004F7558">
      <w:pPr>
        <w:spacing w:before="120" w:after="120" w:line="336" w:lineRule="auto"/>
        <w:rPr>
          <w:rFonts w:ascii="IBM Plex Sans" w:eastAsia="IBM Plex Sans" w:hAnsi="IBM Plex Sans" w:cs="IBM Plex Sans"/>
          <w:color w:val="000000"/>
          <w:lang w:val="es-ES"/>
        </w:rPr>
      </w:pPr>
    </w:p>
    <w:p w14:paraId="3D0B0A10" w14:textId="77777777" w:rsidR="00F802F9" w:rsidRDefault="00F802F9">
      <w:pPr>
        <w:spacing w:before="120" w:after="120" w:line="336" w:lineRule="auto"/>
        <w:rPr>
          <w:rFonts w:ascii="IBM Plex Sans" w:eastAsia="IBM Plex Sans" w:hAnsi="IBM Plex Sans" w:cs="IBM Plex Sans"/>
          <w:color w:val="000000"/>
          <w:lang w:val="es-ES"/>
        </w:rPr>
      </w:pPr>
    </w:p>
    <w:p w14:paraId="3C16C0DA" w14:textId="77777777" w:rsidR="00F802F9" w:rsidRDefault="00F802F9">
      <w:pPr>
        <w:spacing w:before="120" w:after="120" w:line="336" w:lineRule="auto"/>
        <w:rPr>
          <w:rFonts w:ascii="IBM Plex Sans" w:eastAsia="IBM Plex Sans" w:hAnsi="IBM Plex Sans" w:cs="IBM Plex Sans"/>
          <w:color w:val="000000"/>
          <w:lang w:val="es-ES"/>
        </w:rPr>
      </w:pPr>
    </w:p>
    <w:p w14:paraId="735D19AF" w14:textId="77777777" w:rsidR="00F802F9" w:rsidRDefault="00F802F9">
      <w:pPr>
        <w:spacing w:before="120" w:after="120" w:line="336" w:lineRule="auto"/>
        <w:rPr>
          <w:rFonts w:ascii="IBM Plex Sans" w:eastAsia="IBM Plex Sans" w:hAnsi="IBM Plex Sans" w:cs="IBM Plex Sans"/>
          <w:color w:val="000000"/>
          <w:lang w:val="es-ES"/>
        </w:rPr>
      </w:pPr>
    </w:p>
    <w:p w14:paraId="3FAD8E37" w14:textId="77777777" w:rsidR="00F802F9" w:rsidRDefault="00F802F9">
      <w:pPr>
        <w:spacing w:before="120" w:after="120" w:line="336" w:lineRule="auto"/>
        <w:rPr>
          <w:rFonts w:ascii="IBM Plex Sans" w:eastAsia="IBM Plex Sans" w:hAnsi="IBM Plex Sans" w:cs="IBM Plex Sans"/>
          <w:color w:val="000000"/>
          <w:lang w:val="es-ES"/>
        </w:rPr>
      </w:pPr>
    </w:p>
    <w:p w14:paraId="25EFC7BF" w14:textId="77777777" w:rsidR="00F802F9" w:rsidRDefault="00F802F9">
      <w:pPr>
        <w:spacing w:before="120" w:after="120" w:line="336" w:lineRule="auto"/>
        <w:rPr>
          <w:rFonts w:ascii="IBM Plex Sans" w:eastAsia="IBM Plex Sans" w:hAnsi="IBM Plex Sans" w:cs="IBM Plex Sans"/>
          <w:color w:val="000000"/>
          <w:lang w:val="es-ES"/>
        </w:rPr>
      </w:pPr>
    </w:p>
    <w:p w14:paraId="69142795" w14:textId="77777777" w:rsidR="00F802F9" w:rsidRDefault="00F802F9">
      <w:pPr>
        <w:spacing w:before="120" w:after="120" w:line="336" w:lineRule="auto"/>
        <w:rPr>
          <w:rFonts w:ascii="IBM Plex Sans" w:eastAsia="IBM Plex Sans" w:hAnsi="IBM Plex Sans" w:cs="IBM Plex Sans"/>
          <w:color w:val="000000"/>
          <w:lang w:val="es-ES"/>
        </w:rPr>
      </w:pPr>
    </w:p>
    <w:p w14:paraId="2F7AB7C2" w14:textId="77777777" w:rsidR="00F802F9" w:rsidRDefault="00F802F9">
      <w:pPr>
        <w:spacing w:before="120" w:after="120" w:line="336" w:lineRule="auto"/>
        <w:rPr>
          <w:rFonts w:ascii="IBM Plex Sans" w:eastAsia="IBM Plex Sans" w:hAnsi="IBM Plex Sans" w:cs="IBM Plex Sans"/>
          <w:color w:val="000000"/>
          <w:lang w:val="es-ES"/>
        </w:rPr>
      </w:pPr>
    </w:p>
    <w:p w14:paraId="1CA51688" w14:textId="77777777" w:rsidR="00F802F9" w:rsidRDefault="00F802F9">
      <w:pPr>
        <w:spacing w:before="120" w:after="120" w:line="336" w:lineRule="auto"/>
        <w:rPr>
          <w:rFonts w:ascii="IBM Plex Sans" w:eastAsia="IBM Plex Sans" w:hAnsi="IBM Plex Sans" w:cs="IBM Plex Sans"/>
          <w:color w:val="000000"/>
          <w:lang w:val="es-ES"/>
        </w:rPr>
      </w:pPr>
    </w:p>
    <w:p w14:paraId="2840B730" w14:textId="77777777" w:rsidR="00F802F9" w:rsidRDefault="00F802F9">
      <w:pPr>
        <w:spacing w:before="120" w:after="120" w:line="336" w:lineRule="auto"/>
        <w:rPr>
          <w:rFonts w:ascii="IBM Plex Sans" w:eastAsia="IBM Plex Sans" w:hAnsi="IBM Plex Sans" w:cs="IBM Plex Sans"/>
          <w:color w:val="000000"/>
          <w:lang w:val="es-ES"/>
        </w:rPr>
      </w:pPr>
    </w:p>
    <w:p w14:paraId="4259AEFC" w14:textId="77777777" w:rsidR="00F802F9" w:rsidRDefault="00F802F9">
      <w:pPr>
        <w:spacing w:before="120" w:after="120" w:line="336" w:lineRule="auto"/>
        <w:rPr>
          <w:rFonts w:ascii="IBM Plex Sans" w:eastAsia="IBM Plex Sans" w:hAnsi="IBM Plex Sans" w:cs="IBM Plex Sans"/>
          <w:color w:val="000000"/>
          <w:lang w:val="es-ES"/>
        </w:rPr>
        <w:sectPr w:rsidR="00F802F9" w:rsidSect="00B70E4A">
          <w:pgSz w:w="16845" w:h="11910" w:orient="landscape"/>
          <w:pgMar w:top="1440" w:right="1440" w:bottom="1440" w:left="1440" w:header="720" w:footer="720" w:gutter="0"/>
          <w:cols w:space="720"/>
          <w:docGrid w:linePitch="326"/>
        </w:sectPr>
      </w:pPr>
    </w:p>
    <w:p w14:paraId="475883A8" w14:textId="3829AAD6" w:rsidR="00F802F9" w:rsidRPr="004F7558" w:rsidRDefault="00BB07DA" w:rsidP="00F802F9">
      <w:pPr>
        <w:spacing w:before="120" w:after="120" w:line="336" w:lineRule="auto"/>
        <w:rPr>
          <w:lang w:val="es-ES"/>
        </w:rPr>
      </w:pPr>
      <w:r w:rsidRPr="00BB07DA">
        <w:rPr>
          <w:rFonts w:ascii="Bodoni 72 Book" w:eastAsia="Montserrat" w:hAnsi="Bodoni 72 Book" w:cs="Montserrat"/>
          <w:color w:val="68807A"/>
          <w:sz w:val="64"/>
          <w:szCs w:val="64"/>
          <w:lang w:val="es-ES"/>
        </w:rPr>
        <w:lastRenderedPageBreak/>
        <w:t>Sección B - Plantilla de Informe para la Evaluación Cualitativa</w:t>
      </w:r>
    </w:p>
    <w:p w14:paraId="29BF8E5D" w14:textId="77777777" w:rsidR="00F802F9" w:rsidRPr="004F7558" w:rsidRDefault="00F802F9" w:rsidP="00F802F9">
      <w:pPr>
        <w:pBdr>
          <w:bottom w:val="single" w:sz="6" w:space="0" w:color="68807A"/>
        </w:pBdr>
        <w:spacing w:before="120" w:after="120" w:line="0" w:lineRule="auto"/>
        <w:rPr>
          <w:lang w:val="es-ES"/>
        </w:rPr>
      </w:pPr>
    </w:p>
    <w:p w14:paraId="10DA2982" w14:textId="77777777" w:rsidR="00F802F9" w:rsidRDefault="00F802F9" w:rsidP="00F802F9">
      <w:pPr>
        <w:spacing w:before="120" w:after="120" w:line="336" w:lineRule="auto"/>
        <w:rPr>
          <w:rFonts w:ascii="Avenir Next" w:eastAsia="IBM Plex Sans" w:hAnsi="Avenir Next" w:cs="IBM Plex Sans"/>
          <w:color w:val="000000"/>
          <w:sz w:val="20"/>
          <w:szCs w:val="20"/>
          <w:lang w:val="es-ES"/>
        </w:rPr>
      </w:pPr>
      <w:r w:rsidRPr="00F802F9">
        <w:rPr>
          <w:rFonts w:ascii="Avenir Next" w:eastAsia="IBM Plex Sans" w:hAnsi="Avenir Next" w:cs="IBM Plex Sans"/>
          <w:color w:val="000000"/>
          <w:sz w:val="20"/>
          <w:szCs w:val="20"/>
          <w:lang w:val="es-ES"/>
        </w:rPr>
        <w:t>Para completar esta plantilla de informe, los usuarios (con el apoyo de una organización internacional experta seleccionada) deben considerar las respuestas proporcionadas en la 'Sección A' anterior. Al completar esta plantilla, los usuarios deberán considerar el alcance de cada columna de la siguiente manera:</w:t>
      </w:r>
    </w:p>
    <w:p w14:paraId="0B9D94C8" w14:textId="77777777" w:rsidR="00F802F9" w:rsidRDefault="00F802F9" w:rsidP="00F802F9">
      <w:pPr>
        <w:pStyle w:val="ListParagraph"/>
        <w:numPr>
          <w:ilvl w:val="0"/>
          <w:numId w:val="15"/>
        </w:numPr>
        <w:spacing w:before="120" w:after="120" w:line="336" w:lineRule="auto"/>
        <w:rPr>
          <w:rFonts w:ascii="Avenir Next" w:eastAsia="IBM Plex Sans" w:hAnsi="Avenir Next" w:cs="IBM Plex Sans"/>
          <w:color w:val="000000"/>
          <w:sz w:val="20"/>
          <w:szCs w:val="20"/>
          <w:lang w:val="es-ES"/>
        </w:rPr>
      </w:pPr>
      <w:r w:rsidRPr="00F802F9">
        <w:rPr>
          <w:rFonts w:ascii="Avenir Next" w:eastAsia="IBM Plex Sans" w:hAnsi="Avenir Next" w:cs="IBM Plex Sans"/>
          <w:color w:val="000000"/>
          <w:sz w:val="20"/>
          <w:szCs w:val="20"/>
          <w:lang w:val="es-ES"/>
        </w:rPr>
        <w:t>Columna 2 (Deficiencias o brechas identificadas): para que los usuarios identifiquen y resuman las deficiencias o brechas clave (cuestiones de no conformidad) identificadas en correlación con cada uno de los principios del GRM, es decir, cuando la puntuación identificada fue 'Parcialmente' o 'No' en la 'Sección A'. También existe la oportunidad de identificar otras deficiencias generales</w:t>
      </w:r>
      <w:r>
        <w:rPr>
          <w:rFonts w:ascii="Avenir Next" w:eastAsia="IBM Plex Sans" w:hAnsi="Avenir Next" w:cs="IBM Plex Sans"/>
          <w:color w:val="000000"/>
          <w:sz w:val="20"/>
          <w:szCs w:val="20"/>
          <w:lang w:val="es-ES"/>
        </w:rPr>
        <w:t>.</w:t>
      </w:r>
    </w:p>
    <w:p w14:paraId="1D92C6D3" w14:textId="18EB07F9" w:rsidR="00F802F9" w:rsidRPr="00F802F9" w:rsidRDefault="00F802F9" w:rsidP="00F802F9">
      <w:pPr>
        <w:pStyle w:val="ListParagraph"/>
        <w:numPr>
          <w:ilvl w:val="0"/>
          <w:numId w:val="15"/>
        </w:numPr>
        <w:spacing w:before="120" w:after="120" w:line="336" w:lineRule="auto"/>
        <w:rPr>
          <w:rFonts w:ascii="Avenir Next" w:eastAsia="IBM Plex Sans" w:hAnsi="Avenir Next" w:cs="IBM Plex Sans"/>
          <w:color w:val="000000"/>
          <w:sz w:val="20"/>
          <w:szCs w:val="20"/>
          <w:lang w:val="es-ES"/>
        </w:rPr>
      </w:pPr>
      <w:r w:rsidRPr="00F802F9">
        <w:rPr>
          <w:rFonts w:ascii="Avenir Next" w:eastAsia="IBM Plex Sans" w:hAnsi="Avenir Next" w:cs="IBM Plex Sans"/>
          <w:color w:val="000000"/>
          <w:sz w:val="20"/>
          <w:szCs w:val="20"/>
          <w:lang w:val="es-ES"/>
        </w:rPr>
        <w:t xml:space="preserve"> Columna 3 (Recomendaciones): para que los usuarios identifiquen acciones/recomendaciones a tomar para abordar estas deficiencias o brechas clave.</w:t>
      </w:r>
    </w:p>
    <w:tbl>
      <w:tblPr>
        <w:tblStyle w:val="TableGrid"/>
        <w:tblW w:w="5000" w:type="pct"/>
        <w:tblBorders>
          <w:top w:val="single" w:sz="6" w:space="0" w:color="68807A"/>
          <w:left w:val="single" w:sz="6" w:space="0" w:color="68807A"/>
          <w:bottom w:val="single" w:sz="6" w:space="0" w:color="68807A"/>
          <w:right w:val="single" w:sz="6" w:space="0" w:color="68807A"/>
          <w:insideH w:val="single" w:sz="6" w:space="0" w:color="68807A"/>
          <w:insideV w:val="single" w:sz="6" w:space="0" w:color="68807A"/>
        </w:tblBorders>
        <w:tblLook w:val="04A0" w:firstRow="1" w:lastRow="0" w:firstColumn="1" w:lastColumn="0" w:noHBand="0" w:noVBand="1"/>
      </w:tblPr>
      <w:tblGrid>
        <w:gridCol w:w="2158"/>
        <w:gridCol w:w="6197"/>
        <w:gridCol w:w="5826"/>
      </w:tblGrid>
      <w:tr w:rsidR="00F802F9" w:rsidRPr="00F802F9" w14:paraId="18AFB653" w14:textId="77777777" w:rsidTr="00F802F9">
        <w:tc>
          <w:tcPr>
            <w:tcW w:w="761" w:type="pct"/>
            <w:shd w:val="clear" w:color="auto" w:fill="68807A"/>
            <w:vAlign w:val="center"/>
          </w:tcPr>
          <w:p w14:paraId="67918434" w14:textId="77777777" w:rsidR="00F802F9" w:rsidRPr="00F802F9" w:rsidRDefault="00F802F9" w:rsidP="00F802F9">
            <w:pPr>
              <w:jc w:val="center"/>
              <w:rPr>
                <w:rFonts w:ascii="Bodoni 72 Book" w:hAnsi="Bodoni 72 Book"/>
                <w:color w:val="FFFFFF" w:themeColor="background1"/>
                <w:sz w:val="22"/>
                <w:szCs w:val="22"/>
                <w:lang w:val="es-ES"/>
              </w:rPr>
            </w:pPr>
            <w:r w:rsidRPr="00F802F9">
              <w:rPr>
                <w:rFonts w:ascii="Bodoni 72 Book" w:hAnsi="Bodoni 72 Book"/>
                <w:color w:val="FFFFFF" w:themeColor="background1"/>
                <w:sz w:val="22"/>
                <w:szCs w:val="22"/>
                <w:lang w:val="es-ES"/>
              </w:rPr>
              <w:t>Principios de GRM</w:t>
            </w:r>
          </w:p>
        </w:tc>
        <w:tc>
          <w:tcPr>
            <w:tcW w:w="2185" w:type="pct"/>
            <w:shd w:val="clear" w:color="auto" w:fill="68807A"/>
            <w:vAlign w:val="center"/>
          </w:tcPr>
          <w:p w14:paraId="5489B307" w14:textId="77777777" w:rsidR="00F802F9" w:rsidRPr="00F802F9" w:rsidRDefault="00F802F9" w:rsidP="00F802F9">
            <w:pPr>
              <w:jc w:val="center"/>
              <w:rPr>
                <w:rFonts w:ascii="Bodoni 72 Book" w:hAnsi="Bodoni 72 Book"/>
                <w:color w:val="FFFFFF" w:themeColor="background1"/>
                <w:sz w:val="22"/>
                <w:szCs w:val="22"/>
                <w:lang w:val="es-ES"/>
              </w:rPr>
            </w:pPr>
            <w:r w:rsidRPr="00F802F9">
              <w:rPr>
                <w:rFonts w:ascii="Bodoni 72 Book" w:hAnsi="Bodoni 72 Book"/>
                <w:color w:val="FFFFFF" w:themeColor="background1"/>
                <w:sz w:val="22"/>
                <w:szCs w:val="22"/>
                <w:lang w:val="es-ES"/>
              </w:rPr>
              <w:t>Deficiencias/lagunas identificadas</w:t>
            </w:r>
          </w:p>
        </w:tc>
        <w:tc>
          <w:tcPr>
            <w:tcW w:w="2054" w:type="pct"/>
            <w:shd w:val="clear" w:color="auto" w:fill="68807A"/>
            <w:vAlign w:val="center"/>
          </w:tcPr>
          <w:p w14:paraId="41A60236" w14:textId="77777777" w:rsidR="00F802F9" w:rsidRPr="00F802F9" w:rsidRDefault="00F802F9" w:rsidP="00F802F9">
            <w:pPr>
              <w:jc w:val="center"/>
              <w:rPr>
                <w:rFonts w:ascii="Bodoni 72 Book" w:hAnsi="Bodoni 72 Book"/>
                <w:color w:val="FFFFFF" w:themeColor="background1"/>
                <w:sz w:val="22"/>
                <w:szCs w:val="22"/>
                <w:lang w:val="es-ES"/>
              </w:rPr>
            </w:pPr>
            <w:r w:rsidRPr="00F802F9">
              <w:rPr>
                <w:rFonts w:ascii="Bodoni 72 Book" w:hAnsi="Bodoni 72 Book"/>
                <w:color w:val="FFFFFF" w:themeColor="background1"/>
                <w:sz w:val="22"/>
                <w:szCs w:val="22"/>
                <w:lang w:val="es-ES"/>
              </w:rPr>
              <w:t>Recomendaciones</w:t>
            </w:r>
          </w:p>
        </w:tc>
      </w:tr>
      <w:tr w:rsidR="00F802F9" w:rsidRPr="00F802F9" w14:paraId="57F558B8" w14:textId="77777777" w:rsidTr="00F802F9">
        <w:tc>
          <w:tcPr>
            <w:tcW w:w="761" w:type="pct"/>
            <w:shd w:val="clear" w:color="auto" w:fill="BBC8A7"/>
            <w:vAlign w:val="center"/>
          </w:tcPr>
          <w:p w14:paraId="27F2466D" w14:textId="77777777" w:rsidR="00F802F9" w:rsidRPr="00F802F9" w:rsidRDefault="00F802F9" w:rsidP="00F802F9">
            <w:pPr>
              <w:rPr>
                <w:rFonts w:ascii="Avenir Next" w:hAnsi="Avenir Next"/>
                <w:sz w:val="20"/>
                <w:szCs w:val="20"/>
                <w:lang w:val="es-ES"/>
              </w:rPr>
            </w:pPr>
            <w:r w:rsidRPr="00F802F9">
              <w:rPr>
                <w:rFonts w:ascii="Avenir Next" w:hAnsi="Avenir Next"/>
                <w:sz w:val="20"/>
                <w:szCs w:val="20"/>
                <w:lang w:val="es-ES"/>
              </w:rPr>
              <w:t>Legitimidad</w:t>
            </w:r>
          </w:p>
        </w:tc>
        <w:tc>
          <w:tcPr>
            <w:tcW w:w="2185" w:type="pct"/>
          </w:tcPr>
          <w:p w14:paraId="148486E3" w14:textId="77777777" w:rsidR="00F802F9" w:rsidRPr="00F802F9" w:rsidRDefault="00F802F9" w:rsidP="00CE0AF6">
            <w:pPr>
              <w:rPr>
                <w:rFonts w:ascii="Avenir Next" w:hAnsi="Avenir Next"/>
                <w:sz w:val="20"/>
                <w:szCs w:val="20"/>
                <w:lang w:val="es-ES"/>
              </w:rPr>
            </w:pPr>
          </w:p>
        </w:tc>
        <w:tc>
          <w:tcPr>
            <w:tcW w:w="2054" w:type="pct"/>
          </w:tcPr>
          <w:p w14:paraId="3B376A49" w14:textId="77777777" w:rsidR="00F802F9" w:rsidRPr="00F802F9" w:rsidRDefault="00F802F9" w:rsidP="00CE0AF6">
            <w:pPr>
              <w:spacing w:before="40" w:after="40"/>
              <w:rPr>
                <w:rFonts w:ascii="Avenir Next" w:hAnsi="Avenir Next" w:cs="Arial"/>
                <w:sz w:val="20"/>
                <w:szCs w:val="20"/>
                <w:lang w:val="es-ES"/>
              </w:rPr>
            </w:pPr>
          </w:p>
        </w:tc>
      </w:tr>
      <w:tr w:rsidR="00F802F9" w:rsidRPr="00F802F9" w14:paraId="407B79B1" w14:textId="77777777" w:rsidTr="00F802F9">
        <w:trPr>
          <w:trHeight w:val="372"/>
        </w:trPr>
        <w:tc>
          <w:tcPr>
            <w:tcW w:w="761" w:type="pct"/>
            <w:shd w:val="clear" w:color="auto" w:fill="BBC8A7"/>
            <w:vAlign w:val="center"/>
          </w:tcPr>
          <w:p w14:paraId="7A5981C0" w14:textId="77777777" w:rsidR="00F802F9" w:rsidRPr="00F802F9" w:rsidRDefault="00F802F9" w:rsidP="00F802F9">
            <w:pPr>
              <w:rPr>
                <w:rFonts w:ascii="Avenir Next" w:hAnsi="Avenir Next"/>
                <w:sz w:val="20"/>
                <w:szCs w:val="20"/>
                <w:lang w:val="es-ES"/>
              </w:rPr>
            </w:pPr>
            <w:r w:rsidRPr="00F802F9">
              <w:rPr>
                <w:rFonts w:ascii="Avenir Next" w:hAnsi="Avenir Next"/>
                <w:sz w:val="20"/>
                <w:szCs w:val="20"/>
                <w:lang w:val="es-ES"/>
              </w:rPr>
              <w:t>Accesibilidad</w:t>
            </w:r>
          </w:p>
        </w:tc>
        <w:tc>
          <w:tcPr>
            <w:tcW w:w="2185" w:type="pct"/>
          </w:tcPr>
          <w:p w14:paraId="56D3AD11" w14:textId="77777777" w:rsidR="00F802F9" w:rsidRPr="00F802F9" w:rsidRDefault="00F802F9" w:rsidP="00CE0AF6">
            <w:pPr>
              <w:rPr>
                <w:rFonts w:ascii="Avenir Next" w:hAnsi="Avenir Next"/>
                <w:sz w:val="20"/>
                <w:szCs w:val="20"/>
                <w:lang w:val="es-ES"/>
              </w:rPr>
            </w:pPr>
          </w:p>
        </w:tc>
        <w:tc>
          <w:tcPr>
            <w:tcW w:w="2054" w:type="pct"/>
          </w:tcPr>
          <w:p w14:paraId="11A34ADB" w14:textId="77777777" w:rsidR="00F802F9" w:rsidRPr="00F802F9" w:rsidRDefault="00F802F9" w:rsidP="00CE0AF6">
            <w:pPr>
              <w:rPr>
                <w:rFonts w:ascii="Avenir Next" w:hAnsi="Avenir Next"/>
                <w:sz w:val="20"/>
                <w:szCs w:val="20"/>
                <w:lang w:val="es-ES"/>
              </w:rPr>
            </w:pPr>
          </w:p>
        </w:tc>
      </w:tr>
      <w:tr w:rsidR="00F802F9" w:rsidRPr="00F802F9" w14:paraId="1B9986EE" w14:textId="77777777" w:rsidTr="00F802F9">
        <w:trPr>
          <w:trHeight w:val="336"/>
        </w:trPr>
        <w:tc>
          <w:tcPr>
            <w:tcW w:w="761" w:type="pct"/>
            <w:shd w:val="clear" w:color="auto" w:fill="BBC8A7"/>
            <w:vAlign w:val="center"/>
          </w:tcPr>
          <w:p w14:paraId="5BF855BD" w14:textId="77777777" w:rsidR="00F802F9" w:rsidRPr="00F802F9" w:rsidRDefault="00F802F9" w:rsidP="00F802F9">
            <w:pPr>
              <w:rPr>
                <w:rFonts w:ascii="Avenir Next" w:hAnsi="Avenir Next"/>
                <w:sz w:val="20"/>
                <w:szCs w:val="20"/>
                <w:lang w:val="es-ES"/>
              </w:rPr>
            </w:pPr>
            <w:r w:rsidRPr="00F802F9">
              <w:rPr>
                <w:rFonts w:ascii="Avenir Next" w:hAnsi="Avenir Next"/>
                <w:sz w:val="20"/>
                <w:szCs w:val="20"/>
                <w:lang w:val="es-ES"/>
              </w:rPr>
              <w:t>Previsibilidad</w:t>
            </w:r>
          </w:p>
        </w:tc>
        <w:tc>
          <w:tcPr>
            <w:tcW w:w="2185" w:type="pct"/>
          </w:tcPr>
          <w:p w14:paraId="60FE16B7" w14:textId="77777777" w:rsidR="00F802F9" w:rsidRPr="00F802F9" w:rsidRDefault="00F802F9" w:rsidP="00CE0AF6">
            <w:pPr>
              <w:rPr>
                <w:rFonts w:ascii="Avenir Next" w:hAnsi="Avenir Next"/>
                <w:sz w:val="20"/>
                <w:szCs w:val="20"/>
                <w:lang w:val="es-ES"/>
              </w:rPr>
            </w:pPr>
          </w:p>
        </w:tc>
        <w:tc>
          <w:tcPr>
            <w:tcW w:w="2054" w:type="pct"/>
          </w:tcPr>
          <w:p w14:paraId="0EBA4945" w14:textId="77777777" w:rsidR="00F802F9" w:rsidRPr="00F802F9" w:rsidRDefault="00F802F9" w:rsidP="00CE0AF6">
            <w:pPr>
              <w:rPr>
                <w:rFonts w:ascii="Avenir Next" w:hAnsi="Avenir Next"/>
                <w:sz w:val="20"/>
                <w:szCs w:val="20"/>
                <w:lang w:val="es-ES"/>
              </w:rPr>
            </w:pPr>
          </w:p>
        </w:tc>
      </w:tr>
      <w:tr w:rsidR="00F802F9" w:rsidRPr="00F802F9" w14:paraId="3612ACBF" w14:textId="77777777" w:rsidTr="00F802F9">
        <w:trPr>
          <w:trHeight w:val="354"/>
        </w:trPr>
        <w:tc>
          <w:tcPr>
            <w:tcW w:w="761" w:type="pct"/>
            <w:shd w:val="clear" w:color="auto" w:fill="BBC8A7"/>
            <w:vAlign w:val="center"/>
          </w:tcPr>
          <w:p w14:paraId="6BDA080A" w14:textId="77777777" w:rsidR="00F802F9" w:rsidRPr="00F802F9" w:rsidRDefault="00F802F9" w:rsidP="00F802F9">
            <w:pPr>
              <w:rPr>
                <w:rFonts w:ascii="Avenir Next" w:hAnsi="Avenir Next"/>
                <w:sz w:val="20"/>
                <w:szCs w:val="20"/>
                <w:lang w:val="es-ES"/>
              </w:rPr>
            </w:pPr>
            <w:r w:rsidRPr="00F802F9">
              <w:rPr>
                <w:rFonts w:ascii="Avenir Next" w:hAnsi="Avenir Next"/>
                <w:sz w:val="20"/>
                <w:szCs w:val="20"/>
                <w:lang w:val="es-ES"/>
              </w:rPr>
              <w:t>Equitativo</w:t>
            </w:r>
          </w:p>
        </w:tc>
        <w:tc>
          <w:tcPr>
            <w:tcW w:w="2185" w:type="pct"/>
          </w:tcPr>
          <w:p w14:paraId="26734E96" w14:textId="77777777" w:rsidR="00F802F9" w:rsidRPr="00F802F9" w:rsidRDefault="00F802F9" w:rsidP="00CE0AF6">
            <w:pPr>
              <w:rPr>
                <w:rFonts w:ascii="Avenir Next" w:hAnsi="Avenir Next"/>
                <w:sz w:val="20"/>
                <w:szCs w:val="20"/>
                <w:lang w:val="es-ES"/>
              </w:rPr>
            </w:pPr>
          </w:p>
        </w:tc>
        <w:tc>
          <w:tcPr>
            <w:tcW w:w="2054" w:type="pct"/>
          </w:tcPr>
          <w:p w14:paraId="309A9A00" w14:textId="77777777" w:rsidR="00F802F9" w:rsidRPr="00F802F9" w:rsidRDefault="00F802F9" w:rsidP="00CE0AF6">
            <w:pPr>
              <w:rPr>
                <w:rFonts w:ascii="Avenir Next" w:hAnsi="Avenir Next"/>
                <w:sz w:val="20"/>
                <w:szCs w:val="20"/>
                <w:lang w:val="es-ES"/>
              </w:rPr>
            </w:pPr>
          </w:p>
        </w:tc>
      </w:tr>
      <w:tr w:rsidR="00F802F9" w:rsidRPr="00F802F9" w14:paraId="25531818" w14:textId="77777777" w:rsidTr="00F802F9">
        <w:tc>
          <w:tcPr>
            <w:tcW w:w="761" w:type="pct"/>
            <w:shd w:val="clear" w:color="auto" w:fill="BBC8A7"/>
            <w:vAlign w:val="center"/>
          </w:tcPr>
          <w:p w14:paraId="0579DE74" w14:textId="77777777" w:rsidR="00F802F9" w:rsidRPr="00F802F9" w:rsidRDefault="00F802F9" w:rsidP="00F802F9">
            <w:pPr>
              <w:rPr>
                <w:rFonts w:ascii="Avenir Next" w:hAnsi="Avenir Next"/>
                <w:sz w:val="20"/>
                <w:szCs w:val="20"/>
                <w:lang w:val="es-ES"/>
              </w:rPr>
            </w:pPr>
            <w:r w:rsidRPr="00F802F9">
              <w:rPr>
                <w:rFonts w:ascii="Avenir Next" w:hAnsi="Avenir Next"/>
                <w:sz w:val="20"/>
                <w:szCs w:val="20"/>
                <w:lang w:val="es-ES"/>
              </w:rPr>
              <w:t>Derechos compatibles</w:t>
            </w:r>
          </w:p>
        </w:tc>
        <w:tc>
          <w:tcPr>
            <w:tcW w:w="2185" w:type="pct"/>
          </w:tcPr>
          <w:p w14:paraId="2F57AB0F" w14:textId="77777777" w:rsidR="00F802F9" w:rsidRPr="00F802F9" w:rsidRDefault="00F802F9" w:rsidP="00CE0AF6">
            <w:pPr>
              <w:rPr>
                <w:rFonts w:ascii="Avenir Next" w:hAnsi="Avenir Next"/>
                <w:sz w:val="20"/>
                <w:szCs w:val="20"/>
                <w:lang w:val="es-ES"/>
              </w:rPr>
            </w:pPr>
          </w:p>
        </w:tc>
        <w:tc>
          <w:tcPr>
            <w:tcW w:w="2054" w:type="pct"/>
          </w:tcPr>
          <w:p w14:paraId="514A2AA7" w14:textId="77777777" w:rsidR="00F802F9" w:rsidRPr="00F802F9" w:rsidRDefault="00F802F9" w:rsidP="00CE0AF6">
            <w:pPr>
              <w:rPr>
                <w:rFonts w:ascii="Avenir Next" w:hAnsi="Avenir Next"/>
                <w:sz w:val="20"/>
                <w:szCs w:val="20"/>
                <w:lang w:val="es-ES"/>
              </w:rPr>
            </w:pPr>
          </w:p>
        </w:tc>
      </w:tr>
      <w:tr w:rsidR="00F802F9" w:rsidRPr="00F802F9" w14:paraId="1F82EB3C" w14:textId="77777777" w:rsidTr="00F802F9">
        <w:tc>
          <w:tcPr>
            <w:tcW w:w="761" w:type="pct"/>
            <w:shd w:val="clear" w:color="auto" w:fill="BBC8A7"/>
            <w:vAlign w:val="center"/>
          </w:tcPr>
          <w:p w14:paraId="7FD018DF" w14:textId="77777777" w:rsidR="00F802F9" w:rsidRPr="00F802F9" w:rsidRDefault="00F802F9" w:rsidP="00F802F9">
            <w:pPr>
              <w:rPr>
                <w:rFonts w:ascii="Avenir Next" w:hAnsi="Avenir Next"/>
                <w:sz w:val="20"/>
                <w:szCs w:val="20"/>
                <w:lang w:val="es-ES"/>
              </w:rPr>
            </w:pPr>
            <w:r w:rsidRPr="00F802F9">
              <w:rPr>
                <w:rFonts w:ascii="Avenir Next" w:hAnsi="Avenir Next"/>
                <w:sz w:val="20"/>
                <w:szCs w:val="20"/>
                <w:lang w:val="es-ES"/>
              </w:rPr>
              <w:t>Permitir el aprendizaje continuo</w:t>
            </w:r>
          </w:p>
        </w:tc>
        <w:tc>
          <w:tcPr>
            <w:tcW w:w="2185" w:type="pct"/>
          </w:tcPr>
          <w:p w14:paraId="6D572024" w14:textId="77777777" w:rsidR="00F802F9" w:rsidRPr="00F802F9" w:rsidRDefault="00F802F9" w:rsidP="00CE0AF6">
            <w:pPr>
              <w:rPr>
                <w:rFonts w:ascii="Avenir Next" w:hAnsi="Avenir Next"/>
                <w:sz w:val="20"/>
                <w:szCs w:val="20"/>
                <w:lang w:val="es-ES"/>
              </w:rPr>
            </w:pPr>
          </w:p>
        </w:tc>
        <w:tc>
          <w:tcPr>
            <w:tcW w:w="2054" w:type="pct"/>
          </w:tcPr>
          <w:p w14:paraId="4278EBF4" w14:textId="77777777" w:rsidR="00F802F9" w:rsidRPr="00F802F9" w:rsidRDefault="00F802F9" w:rsidP="00CE0AF6">
            <w:pPr>
              <w:rPr>
                <w:rFonts w:ascii="Avenir Next" w:hAnsi="Avenir Next"/>
                <w:sz w:val="20"/>
                <w:szCs w:val="20"/>
                <w:lang w:val="es-ES"/>
              </w:rPr>
            </w:pPr>
          </w:p>
          <w:p w14:paraId="3400D89E" w14:textId="77777777" w:rsidR="00F802F9" w:rsidRPr="00F802F9" w:rsidRDefault="00F802F9" w:rsidP="00CE0AF6">
            <w:pPr>
              <w:rPr>
                <w:rFonts w:ascii="Avenir Next" w:hAnsi="Avenir Next"/>
                <w:sz w:val="20"/>
                <w:szCs w:val="20"/>
                <w:lang w:val="es-ES"/>
              </w:rPr>
            </w:pPr>
          </w:p>
        </w:tc>
      </w:tr>
      <w:tr w:rsidR="00F802F9" w:rsidRPr="00F802F9" w14:paraId="63579AFA" w14:textId="77777777" w:rsidTr="00F802F9">
        <w:trPr>
          <w:trHeight w:val="300"/>
        </w:trPr>
        <w:tc>
          <w:tcPr>
            <w:tcW w:w="761" w:type="pct"/>
            <w:shd w:val="clear" w:color="auto" w:fill="BBC8A7"/>
            <w:vAlign w:val="center"/>
          </w:tcPr>
          <w:p w14:paraId="7C871B5C" w14:textId="77777777" w:rsidR="00F802F9" w:rsidRPr="00F802F9" w:rsidRDefault="00F802F9" w:rsidP="00F802F9">
            <w:pPr>
              <w:rPr>
                <w:rFonts w:ascii="Avenir Next" w:hAnsi="Avenir Next"/>
                <w:sz w:val="20"/>
                <w:szCs w:val="20"/>
                <w:lang w:val="es-ES"/>
              </w:rPr>
            </w:pPr>
            <w:r w:rsidRPr="00F802F9">
              <w:rPr>
                <w:rFonts w:ascii="Avenir Next" w:hAnsi="Avenir Next"/>
                <w:sz w:val="20"/>
                <w:szCs w:val="20"/>
                <w:lang w:val="es-ES"/>
              </w:rPr>
              <w:t xml:space="preserve">General </w:t>
            </w:r>
          </w:p>
        </w:tc>
        <w:tc>
          <w:tcPr>
            <w:tcW w:w="2185" w:type="pct"/>
          </w:tcPr>
          <w:p w14:paraId="66318BF6" w14:textId="77777777" w:rsidR="00F802F9" w:rsidRPr="00F802F9" w:rsidRDefault="00F802F9" w:rsidP="00CE0AF6">
            <w:pPr>
              <w:rPr>
                <w:rFonts w:ascii="Avenir Next" w:hAnsi="Avenir Next"/>
                <w:sz w:val="20"/>
                <w:szCs w:val="20"/>
                <w:lang w:val="es-ES"/>
              </w:rPr>
            </w:pPr>
          </w:p>
        </w:tc>
        <w:tc>
          <w:tcPr>
            <w:tcW w:w="2054" w:type="pct"/>
          </w:tcPr>
          <w:p w14:paraId="15D339A8" w14:textId="77777777" w:rsidR="00F802F9" w:rsidRPr="00F802F9" w:rsidRDefault="00F802F9" w:rsidP="00CE0AF6">
            <w:pPr>
              <w:rPr>
                <w:rFonts w:ascii="Avenir Next" w:hAnsi="Avenir Next"/>
                <w:sz w:val="20"/>
                <w:szCs w:val="20"/>
                <w:lang w:val="es-ES"/>
              </w:rPr>
            </w:pPr>
          </w:p>
        </w:tc>
      </w:tr>
    </w:tbl>
    <w:p w14:paraId="5423416B" w14:textId="77777777" w:rsidR="00F802F9" w:rsidRDefault="00F802F9">
      <w:pPr>
        <w:spacing w:before="120" w:after="120" w:line="336" w:lineRule="auto"/>
        <w:rPr>
          <w:rFonts w:ascii="IBM Plex Sans" w:eastAsia="IBM Plex Sans" w:hAnsi="IBM Plex Sans" w:cs="IBM Plex Sans"/>
          <w:color w:val="000000"/>
          <w:lang w:val="es-ES"/>
        </w:rPr>
      </w:pPr>
    </w:p>
    <w:sectPr w:rsidR="00F802F9" w:rsidSect="00B70E4A">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71B1" w14:textId="77777777" w:rsidR="00882CFD" w:rsidRDefault="00882CFD" w:rsidP="004F7558">
      <w:r>
        <w:separator/>
      </w:r>
    </w:p>
  </w:endnote>
  <w:endnote w:type="continuationSeparator" w:id="0">
    <w:p w14:paraId="083EE79B" w14:textId="77777777" w:rsidR="00882CFD" w:rsidRDefault="00882CFD" w:rsidP="004F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55D9444-BAF3-164C-8E61-E9C578BCFA7A}"/>
    <w:embedBold r:id="rId2" w:fontKey="{DD56F5FC-3BBD-9E4A-A046-DD776C2455E2}"/>
  </w:font>
  <w:font w:name="Symbol">
    <w:panose1 w:val="05050102010706020507"/>
    <w:charset w:val="02"/>
    <w:family w:val="decorative"/>
    <w:pitch w:val="variable"/>
    <w:sig w:usb0="00000003" w:usb1="10000000" w:usb2="00000000" w:usb3="00000000" w:csb0="80000001" w:csb1="00000000"/>
    <w:embedRegular r:id="rId3" w:fontKey="{FB441A11-A553-DF49-9050-17AA3C93BC2F}"/>
  </w:font>
  <w:font w:name="Courier New">
    <w:panose1 w:val="02070309020205020404"/>
    <w:charset w:val="00"/>
    <w:family w:val="modern"/>
    <w:pitch w:val="fixed"/>
    <w:sig w:usb0="E0002EFF" w:usb1="C0007843" w:usb2="00000009" w:usb3="00000000" w:csb0="000001FF" w:csb1="00000000"/>
    <w:embedRegular r:id="rId4" w:fontKey="{62E043F5-98C2-4240-B5AD-BBAAC7376B94}"/>
  </w:font>
  <w:font w:name="Wingdings">
    <w:panose1 w:val="05000000000000000000"/>
    <w:charset w:val="4D"/>
    <w:family w:val="decorative"/>
    <w:pitch w:val="variable"/>
    <w:sig w:usb0="00000003" w:usb1="00000000" w:usb2="00000000" w:usb3="00000000" w:csb0="80000001" w:csb1="00000000"/>
    <w:embedRegular r:id="rId5" w:fontKey="{87FF292E-4610-D84B-85ED-5DC87B889FE4}"/>
  </w:font>
  <w:font w:name="Calibri">
    <w:panose1 w:val="020F0502020204030204"/>
    <w:charset w:val="00"/>
    <w:family w:val="swiss"/>
    <w:pitch w:val="variable"/>
    <w:sig w:usb0="E4002EFF" w:usb1="C200247B" w:usb2="00000009" w:usb3="00000000" w:csb0="000001FF" w:csb1="00000000"/>
    <w:embedRegular r:id="rId6" w:fontKey="{33D9A57F-43B9-7C4E-99D0-A2D26035D820}"/>
    <w:embedBold r:id="rId7" w:fontKey="{7F2AAA5F-9A13-4649-BC68-065DF80A44F7}"/>
  </w:font>
  <w:font w:name="Bodoni 72 Book">
    <w:altName w:val="BODONI 72 BOOK"/>
    <w:panose1 w:val="00000400000000000000"/>
    <w:charset w:val="00"/>
    <w:family w:val="auto"/>
    <w:pitch w:val="variable"/>
    <w:sig w:usb0="00000003" w:usb1="00000000" w:usb2="00000000" w:usb3="00000000" w:csb0="00000001" w:csb1="00000000"/>
    <w:embedRegular r:id="rId8" w:fontKey="{B02F2C64-6A11-2847-A376-452D311B77DC}"/>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0" w:fontKey="{B9AC5D06-4409-024A-B3D1-BFD0309D6DD7}"/>
    <w:embedBold r:id="rId11" w:fontKey="{E0F9283F-627F-DF4D-99B3-E307DAB0991D}"/>
  </w:font>
  <w:font w:name="Montserrat">
    <w:panose1 w:val="00000500000000000000"/>
    <w:charset w:val="4D"/>
    <w:family w:val="auto"/>
    <w:pitch w:val="variable"/>
    <w:sig w:usb0="2000020F" w:usb1="00000003" w:usb2="00000000" w:usb3="00000000" w:csb0="00000197" w:csb1="00000000"/>
    <w:embedRegular r:id="rId12" w:fontKey="{6CAC9C36-7403-B54E-A6DF-8CF0B159CD97}"/>
  </w:font>
  <w:font w:name="Montserrat Bold">
    <w:panose1 w:val="020B0604020202020204"/>
    <w:charset w:val="00"/>
    <w:family w:val="auto"/>
    <w:pitch w:val="default"/>
  </w:font>
  <w:font w:name="IBM Plex Sans">
    <w:panose1 w:val="020B0503050203000203"/>
    <w:charset w:val="00"/>
    <w:family w:val="swiss"/>
    <w:pitch w:val="variable"/>
    <w:sig w:usb0="A00002EF" w:usb1="5000207B" w:usb2="00000000" w:usb3="00000000" w:csb0="0000019F" w:csb1="00000000"/>
    <w:embedRegular r:id="rId14" w:fontKey="{1EEBE0B0-E064-3644-8C09-CC6A2948A2B0}"/>
    <w:embedBold r:id="rId15" w:fontKey="{1F77E7EB-604D-A94B-8635-D32657605BE2}"/>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Bold r:id="rId17" w:fontKey="{6749B9C9-DDCF-3C41-A388-51C1B4F2D225}"/>
  </w:font>
  <w:font w:name="Arial">
    <w:panose1 w:val="020B0604020202020204"/>
    <w:charset w:val="00"/>
    <w:family w:val="swiss"/>
    <w:pitch w:val="variable"/>
    <w:sig w:usb0="E0002EFF" w:usb1="C000785B" w:usb2="00000009" w:usb3="00000000" w:csb0="000001FF" w:csb1="00000000"/>
    <w:embedRegular r:id="rId18" w:fontKey="{3269804A-558B-C140-87EE-3AE977015D9F}"/>
  </w:font>
  <w:font w:name="Calibri Light">
    <w:panose1 w:val="020F0302020204030204"/>
    <w:charset w:val="00"/>
    <w:family w:val="swiss"/>
    <w:pitch w:val="variable"/>
    <w:sig w:usb0="E0002AFF" w:usb1="C000247B" w:usb2="00000009" w:usb3="00000000" w:csb0="000001FF" w:csb1="00000000"/>
    <w:embedRegular r:id="rId19" w:fontKey="{ECA09734-4462-3146-8606-AC4293B85E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EFD9A" w14:textId="77777777" w:rsidR="00882CFD" w:rsidRDefault="00882CFD" w:rsidP="004F7558">
      <w:r>
        <w:separator/>
      </w:r>
    </w:p>
  </w:footnote>
  <w:footnote w:type="continuationSeparator" w:id="0">
    <w:p w14:paraId="7A6A5889" w14:textId="77777777" w:rsidR="00882CFD" w:rsidRDefault="00882CFD" w:rsidP="004F7558">
      <w:r>
        <w:continuationSeparator/>
      </w:r>
    </w:p>
  </w:footnote>
  <w:footnote w:id="1">
    <w:p w14:paraId="7566CDC7" w14:textId="028D19FD" w:rsidR="004F7558" w:rsidRPr="00BB07DA" w:rsidRDefault="004F7558">
      <w:pPr>
        <w:pStyle w:val="FootnoteText"/>
        <w:rPr>
          <w:rFonts w:ascii="Avenir Next" w:hAnsi="Avenir Next"/>
          <w:sz w:val="14"/>
          <w:szCs w:val="14"/>
          <w:lang w:val="es-ES"/>
        </w:rPr>
      </w:pPr>
      <w:r w:rsidRPr="00BB07DA">
        <w:rPr>
          <w:rStyle w:val="FootnoteReference"/>
          <w:rFonts w:ascii="Avenir Next" w:hAnsi="Avenir Next"/>
          <w:sz w:val="14"/>
          <w:szCs w:val="14"/>
          <w:lang w:val="es-ES"/>
        </w:rPr>
        <w:footnoteRef/>
      </w:r>
      <w:r w:rsidRPr="00BB07DA">
        <w:rPr>
          <w:rFonts w:ascii="Avenir Next" w:hAnsi="Avenir Next"/>
          <w:sz w:val="14"/>
          <w:szCs w:val="14"/>
          <w:lang w:val="es-ES"/>
        </w:rPr>
        <w:t xml:space="preserve"> Orientación complementaria del PNUD SES sobre mecanismos de reparación de reclamaciones. Este documento también toma nota del Consejo de Derechos Humanos de las Naciones Unidas, 2011. Informe del Representante Especial del </w:t>
      </w:r>
      <w:proofErr w:type="gramStart"/>
      <w:r w:rsidRPr="00BB07DA">
        <w:rPr>
          <w:rFonts w:ascii="Avenir Next" w:hAnsi="Avenir Next"/>
          <w:sz w:val="14"/>
          <w:szCs w:val="14"/>
          <w:lang w:val="es-ES"/>
        </w:rPr>
        <w:t>Secretario General</w:t>
      </w:r>
      <w:proofErr w:type="gramEnd"/>
      <w:r w:rsidRPr="00BB07DA">
        <w:rPr>
          <w:rFonts w:ascii="Avenir Next" w:hAnsi="Avenir Next"/>
          <w:sz w:val="14"/>
          <w:szCs w:val="14"/>
          <w:lang w:val="es-ES"/>
        </w:rPr>
        <w:t xml:space="preserve"> de las Naciones Unidas sobre la cuestión de los derechos humanos y las corporaciones transnacionales y otras empresas comerciales, John </w:t>
      </w:r>
      <w:proofErr w:type="spellStart"/>
      <w:r w:rsidRPr="00BB07DA">
        <w:rPr>
          <w:rFonts w:ascii="Avenir Next" w:hAnsi="Avenir Next"/>
          <w:sz w:val="14"/>
          <w:szCs w:val="14"/>
          <w:lang w:val="es-ES"/>
        </w:rPr>
        <w:t>Ruggie</w:t>
      </w:r>
      <w:proofErr w:type="spellEnd"/>
      <w:r w:rsidRPr="00BB07DA">
        <w:rPr>
          <w:rFonts w:ascii="Avenir Next" w:hAnsi="Avenir Next"/>
          <w:sz w:val="14"/>
          <w:szCs w:val="14"/>
          <w:lang w:val="es-ES"/>
        </w:rPr>
        <w:t>: Principios orientadores sobre las empresas y los derechos humanos: Implementación de la Marco de las Naciones Unidas para “proteger, respetar y remediar”. A/HRC/17/31, 21 de marzo. Aunque se desarrollaron inicialmente como una guía para empresas con posibles impactos operativos sobre los derechos de las comunidades afectadas y otras partes interesadas, estos Principios orientadores, y en particular la orientación sobre los mecanismos de reclamación como componente clave de la reparación, están ganando rápidamente apoyo global entre las agencias multilaterales como un base para desarrollar y perfeccionar sus mecanismos organizacionales de quejas. Del mismo modo, aunque los Principios no están dirigidos oficialmente a agencias gubernamentales u ONG, proporcionan una base sólida para que los gobiernos revisen, desarrollen y perfeccionen sus GRM.</w:t>
      </w:r>
    </w:p>
  </w:footnote>
  <w:footnote w:id="2">
    <w:p w14:paraId="72B1131C" w14:textId="201F9F6D" w:rsidR="004F7558" w:rsidRPr="00BB07DA" w:rsidRDefault="004F7558">
      <w:pPr>
        <w:pStyle w:val="FootnoteText"/>
        <w:rPr>
          <w:rFonts w:ascii="Avenir Next" w:hAnsi="Avenir Next"/>
          <w:sz w:val="14"/>
          <w:szCs w:val="14"/>
          <w:lang w:val="es-ES"/>
        </w:rPr>
      </w:pPr>
      <w:r w:rsidRPr="00BB07DA">
        <w:rPr>
          <w:rStyle w:val="FootnoteReference"/>
          <w:rFonts w:ascii="Avenir Next" w:hAnsi="Avenir Next"/>
          <w:sz w:val="14"/>
          <w:szCs w:val="14"/>
          <w:lang w:val="es-ES"/>
        </w:rPr>
        <w:footnoteRef/>
      </w:r>
      <w:r w:rsidRPr="00BB07DA">
        <w:rPr>
          <w:rFonts w:ascii="Avenir Next" w:hAnsi="Avenir Next"/>
          <w:sz w:val="14"/>
          <w:szCs w:val="14"/>
          <w:lang w:val="es-ES"/>
        </w:rPr>
        <w:t xml:space="preserve"> Nota: si se evalúan varios GRM, se recomienda completar un cuestionario para cada GRM.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3AEB"/>
    <w:multiLevelType w:val="hybridMultilevel"/>
    <w:tmpl w:val="12F494FE"/>
    <w:lvl w:ilvl="0" w:tplc="6034FEA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C06C5"/>
    <w:multiLevelType w:val="hybridMultilevel"/>
    <w:tmpl w:val="A948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54303"/>
    <w:multiLevelType w:val="hybridMultilevel"/>
    <w:tmpl w:val="0A4C7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A2FE3"/>
    <w:multiLevelType w:val="hybridMultilevel"/>
    <w:tmpl w:val="B33A5F18"/>
    <w:lvl w:ilvl="0" w:tplc="AEAEB7E4">
      <w:start w:val="1"/>
      <w:numFmt w:val="bullet"/>
      <w:lvlText w:val=""/>
      <w:lvlJc w:val="left"/>
      <w:pPr>
        <w:ind w:left="400" w:hanging="360"/>
      </w:pPr>
      <w:rPr>
        <w:rFonts w:ascii="Symbol" w:hAnsi="Symbol"/>
      </w:rPr>
    </w:lvl>
    <w:lvl w:ilvl="1" w:tplc="51AA5AB6">
      <w:start w:val="1"/>
      <w:numFmt w:val="bullet"/>
      <w:lvlText w:val="o"/>
      <w:lvlJc w:val="left"/>
      <w:pPr>
        <w:ind w:left="800" w:hanging="360"/>
      </w:pPr>
      <w:rPr>
        <w:rFonts w:ascii="Courier New" w:hAnsi="Courier New"/>
      </w:rPr>
    </w:lvl>
    <w:lvl w:ilvl="2" w:tplc="5C049210">
      <w:start w:val="1"/>
      <w:numFmt w:val="bullet"/>
      <w:lvlText w:val=""/>
      <w:lvlJc w:val="left"/>
      <w:pPr>
        <w:ind w:left="1200" w:hanging="360"/>
      </w:pPr>
      <w:rPr>
        <w:rFonts w:ascii="Wingdings" w:hAnsi="Wingdings"/>
      </w:rPr>
    </w:lvl>
    <w:lvl w:ilvl="3" w:tplc="E000FE6E">
      <w:start w:val="1"/>
      <w:numFmt w:val="bullet"/>
      <w:lvlText w:val=""/>
      <w:lvlJc w:val="left"/>
      <w:pPr>
        <w:ind w:left="1600" w:hanging="360"/>
      </w:pPr>
      <w:rPr>
        <w:rFonts w:ascii="Symbol" w:hAnsi="Symbol"/>
      </w:rPr>
    </w:lvl>
    <w:lvl w:ilvl="4" w:tplc="4DA88232">
      <w:start w:val="1"/>
      <w:numFmt w:val="bullet"/>
      <w:lvlText w:val="o"/>
      <w:lvlJc w:val="left"/>
      <w:pPr>
        <w:ind w:left="2000" w:hanging="360"/>
      </w:pPr>
      <w:rPr>
        <w:rFonts w:ascii="Courier New" w:hAnsi="Courier New"/>
      </w:rPr>
    </w:lvl>
    <w:lvl w:ilvl="5" w:tplc="3B2683B6">
      <w:start w:val="1"/>
      <w:numFmt w:val="bullet"/>
      <w:lvlText w:val=""/>
      <w:lvlJc w:val="left"/>
      <w:pPr>
        <w:ind w:left="2400" w:hanging="360"/>
      </w:pPr>
      <w:rPr>
        <w:rFonts w:ascii="Wingdings" w:hAnsi="Wingdings"/>
      </w:rPr>
    </w:lvl>
    <w:lvl w:ilvl="6" w:tplc="83387EF0">
      <w:start w:val="1"/>
      <w:numFmt w:val="bullet"/>
      <w:lvlText w:val=""/>
      <w:lvlJc w:val="left"/>
      <w:pPr>
        <w:ind w:left="2800" w:hanging="360"/>
      </w:pPr>
      <w:rPr>
        <w:rFonts w:ascii="Symbol" w:hAnsi="Symbol"/>
      </w:rPr>
    </w:lvl>
    <w:lvl w:ilvl="7" w:tplc="49A6D6AC">
      <w:start w:val="1"/>
      <w:numFmt w:val="bullet"/>
      <w:lvlText w:val="o"/>
      <w:lvlJc w:val="left"/>
      <w:pPr>
        <w:ind w:left="3200" w:hanging="360"/>
      </w:pPr>
      <w:rPr>
        <w:rFonts w:ascii="Courier New" w:hAnsi="Courier New"/>
      </w:rPr>
    </w:lvl>
    <w:lvl w:ilvl="8" w:tplc="077C7B28">
      <w:numFmt w:val="decimal"/>
      <w:lvlText w:val=""/>
      <w:lvlJc w:val="left"/>
    </w:lvl>
  </w:abstractNum>
  <w:abstractNum w:abstractNumId="4" w15:restartNumberingAfterBreak="0">
    <w:nsid w:val="11C96EFD"/>
    <w:multiLevelType w:val="hybridMultilevel"/>
    <w:tmpl w:val="491E55E6"/>
    <w:lvl w:ilvl="0" w:tplc="C7208B1C">
      <w:start w:val="1"/>
      <w:numFmt w:val="bullet"/>
      <w:lvlText w:val=""/>
      <w:lvlJc w:val="left"/>
      <w:pPr>
        <w:ind w:left="400" w:hanging="360"/>
      </w:pPr>
      <w:rPr>
        <w:rFonts w:ascii="Symbol" w:hAnsi="Symbol"/>
      </w:rPr>
    </w:lvl>
    <w:lvl w:ilvl="1" w:tplc="4E186FCA">
      <w:start w:val="1"/>
      <w:numFmt w:val="bullet"/>
      <w:lvlText w:val="o"/>
      <w:lvlJc w:val="left"/>
      <w:pPr>
        <w:ind w:left="800" w:hanging="360"/>
      </w:pPr>
      <w:rPr>
        <w:rFonts w:ascii="Courier New" w:hAnsi="Courier New"/>
      </w:rPr>
    </w:lvl>
    <w:lvl w:ilvl="2" w:tplc="F312AD5A">
      <w:start w:val="1"/>
      <w:numFmt w:val="bullet"/>
      <w:lvlText w:val=""/>
      <w:lvlJc w:val="left"/>
      <w:pPr>
        <w:ind w:left="1200" w:hanging="360"/>
      </w:pPr>
      <w:rPr>
        <w:rFonts w:ascii="Wingdings" w:hAnsi="Wingdings"/>
      </w:rPr>
    </w:lvl>
    <w:lvl w:ilvl="3" w:tplc="DE2CC248">
      <w:start w:val="1"/>
      <w:numFmt w:val="bullet"/>
      <w:lvlText w:val=""/>
      <w:lvlJc w:val="left"/>
      <w:pPr>
        <w:ind w:left="1600" w:hanging="360"/>
      </w:pPr>
      <w:rPr>
        <w:rFonts w:ascii="Symbol" w:hAnsi="Symbol"/>
      </w:rPr>
    </w:lvl>
    <w:lvl w:ilvl="4" w:tplc="FD5EAC42">
      <w:start w:val="1"/>
      <w:numFmt w:val="bullet"/>
      <w:lvlText w:val="o"/>
      <w:lvlJc w:val="left"/>
      <w:pPr>
        <w:ind w:left="2000" w:hanging="360"/>
      </w:pPr>
      <w:rPr>
        <w:rFonts w:ascii="Courier New" w:hAnsi="Courier New"/>
      </w:rPr>
    </w:lvl>
    <w:lvl w:ilvl="5" w:tplc="D2162FEC">
      <w:start w:val="1"/>
      <w:numFmt w:val="bullet"/>
      <w:lvlText w:val=""/>
      <w:lvlJc w:val="left"/>
      <w:pPr>
        <w:ind w:left="2400" w:hanging="360"/>
      </w:pPr>
      <w:rPr>
        <w:rFonts w:ascii="Wingdings" w:hAnsi="Wingdings"/>
      </w:rPr>
    </w:lvl>
    <w:lvl w:ilvl="6" w:tplc="B9CA13B4">
      <w:start w:val="1"/>
      <w:numFmt w:val="bullet"/>
      <w:lvlText w:val=""/>
      <w:lvlJc w:val="left"/>
      <w:pPr>
        <w:ind w:left="2800" w:hanging="360"/>
      </w:pPr>
      <w:rPr>
        <w:rFonts w:ascii="Symbol" w:hAnsi="Symbol"/>
      </w:rPr>
    </w:lvl>
    <w:lvl w:ilvl="7" w:tplc="1F6853AE">
      <w:start w:val="1"/>
      <w:numFmt w:val="bullet"/>
      <w:lvlText w:val="o"/>
      <w:lvlJc w:val="left"/>
      <w:pPr>
        <w:ind w:left="3200" w:hanging="360"/>
      </w:pPr>
      <w:rPr>
        <w:rFonts w:ascii="Courier New" w:hAnsi="Courier New"/>
      </w:rPr>
    </w:lvl>
    <w:lvl w:ilvl="8" w:tplc="932ED554">
      <w:numFmt w:val="decimal"/>
      <w:lvlText w:val=""/>
      <w:lvlJc w:val="left"/>
    </w:lvl>
  </w:abstractNum>
  <w:abstractNum w:abstractNumId="5" w15:restartNumberingAfterBreak="0">
    <w:nsid w:val="386713E0"/>
    <w:multiLevelType w:val="hybridMultilevel"/>
    <w:tmpl w:val="3A484EA2"/>
    <w:lvl w:ilvl="0" w:tplc="EC366DAA">
      <w:start w:val="1"/>
      <w:numFmt w:val="bullet"/>
      <w:lvlText w:val=""/>
      <w:lvlJc w:val="left"/>
      <w:pPr>
        <w:ind w:left="400" w:hanging="360"/>
      </w:pPr>
      <w:rPr>
        <w:rFonts w:ascii="Symbol" w:hAnsi="Symbol"/>
      </w:rPr>
    </w:lvl>
    <w:lvl w:ilvl="1" w:tplc="76A07B94">
      <w:start w:val="1"/>
      <w:numFmt w:val="bullet"/>
      <w:lvlText w:val="o"/>
      <w:lvlJc w:val="left"/>
      <w:pPr>
        <w:ind w:left="800" w:hanging="360"/>
      </w:pPr>
      <w:rPr>
        <w:rFonts w:ascii="Courier New" w:hAnsi="Courier New"/>
      </w:rPr>
    </w:lvl>
    <w:lvl w:ilvl="2" w:tplc="7478B854">
      <w:start w:val="1"/>
      <w:numFmt w:val="bullet"/>
      <w:lvlText w:val=""/>
      <w:lvlJc w:val="left"/>
      <w:pPr>
        <w:ind w:left="1200" w:hanging="360"/>
      </w:pPr>
      <w:rPr>
        <w:rFonts w:ascii="Wingdings" w:hAnsi="Wingdings"/>
      </w:rPr>
    </w:lvl>
    <w:lvl w:ilvl="3" w:tplc="072A1282">
      <w:start w:val="1"/>
      <w:numFmt w:val="bullet"/>
      <w:lvlText w:val=""/>
      <w:lvlJc w:val="left"/>
      <w:pPr>
        <w:ind w:left="1600" w:hanging="360"/>
      </w:pPr>
      <w:rPr>
        <w:rFonts w:ascii="Symbol" w:hAnsi="Symbol"/>
      </w:rPr>
    </w:lvl>
    <w:lvl w:ilvl="4" w:tplc="5002D8F6">
      <w:start w:val="1"/>
      <w:numFmt w:val="bullet"/>
      <w:lvlText w:val="o"/>
      <w:lvlJc w:val="left"/>
      <w:pPr>
        <w:ind w:left="2000" w:hanging="360"/>
      </w:pPr>
      <w:rPr>
        <w:rFonts w:ascii="Courier New" w:hAnsi="Courier New"/>
      </w:rPr>
    </w:lvl>
    <w:lvl w:ilvl="5" w:tplc="0456B462">
      <w:start w:val="1"/>
      <w:numFmt w:val="bullet"/>
      <w:lvlText w:val=""/>
      <w:lvlJc w:val="left"/>
      <w:pPr>
        <w:ind w:left="2400" w:hanging="360"/>
      </w:pPr>
      <w:rPr>
        <w:rFonts w:ascii="Wingdings" w:hAnsi="Wingdings"/>
      </w:rPr>
    </w:lvl>
    <w:lvl w:ilvl="6" w:tplc="8BC8ED42">
      <w:start w:val="1"/>
      <w:numFmt w:val="bullet"/>
      <w:lvlText w:val=""/>
      <w:lvlJc w:val="left"/>
      <w:pPr>
        <w:ind w:left="2800" w:hanging="360"/>
      </w:pPr>
      <w:rPr>
        <w:rFonts w:ascii="Symbol" w:hAnsi="Symbol"/>
      </w:rPr>
    </w:lvl>
    <w:lvl w:ilvl="7" w:tplc="7A7C6936">
      <w:start w:val="1"/>
      <w:numFmt w:val="bullet"/>
      <w:lvlText w:val="o"/>
      <w:lvlJc w:val="left"/>
      <w:pPr>
        <w:ind w:left="3200" w:hanging="360"/>
      </w:pPr>
      <w:rPr>
        <w:rFonts w:ascii="Courier New" w:hAnsi="Courier New"/>
      </w:rPr>
    </w:lvl>
    <w:lvl w:ilvl="8" w:tplc="D6D09828">
      <w:numFmt w:val="decimal"/>
      <w:lvlText w:val=""/>
      <w:lvlJc w:val="left"/>
    </w:lvl>
  </w:abstractNum>
  <w:abstractNum w:abstractNumId="6" w15:restartNumberingAfterBreak="0">
    <w:nsid w:val="3BC5284F"/>
    <w:multiLevelType w:val="hybridMultilevel"/>
    <w:tmpl w:val="5568CB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7F78C0"/>
    <w:multiLevelType w:val="hybridMultilevel"/>
    <w:tmpl w:val="52D2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A841C4"/>
    <w:multiLevelType w:val="hybridMultilevel"/>
    <w:tmpl w:val="9BD0206E"/>
    <w:lvl w:ilvl="0" w:tplc="9ACCF4B6">
      <w:start w:val="1"/>
      <w:numFmt w:val="bullet"/>
      <w:lvlText w:val=""/>
      <w:lvlJc w:val="left"/>
      <w:pPr>
        <w:ind w:left="400" w:hanging="360"/>
      </w:pPr>
      <w:rPr>
        <w:rFonts w:ascii="Symbol" w:hAnsi="Symbol"/>
      </w:rPr>
    </w:lvl>
    <w:lvl w:ilvl="1" w:tplc="8272C0FC">
      <w:start w:val="1"/>
      <w:numFmt w:val="bullet"/>
      <w:lvlText w:val="o"/>
      <w:lvlJc w:val="left"/>
      <w:pPr>
        <w:ind w:left="800" w:hanging="360"/>
      </w:pPr>
      <w:rPr>
        <w:rFonts w:ascii="Courier New" w:hAnsi="Courier New"/>
      </w:rPr>
    </w:lvl>
    <w:lvl w:ilvl="2" w:tplc="0CFA3F8A">
      <w:start w:val="1"/>
      <w:numFmt w:val="bullet"/>
      <w:lvlText w:val=""/>
      <w:lvlJc w:val="left"/>
      <w:pPr>
        <w:ind w:left="1200" w:hanging="360"/>
      </w:pPr>
      <w:rPr>
        <w:rFonts w:ascii="Wingdings" w:hAnsi="Wingdings"/>
      </w:rPr>
    </w:lvl>
    <w:lvl w:ilvl="3" w:tplc="0414E790">
      <w:start w:val="1"/>
      <w:numFmt w:val="bullet"/>
      <w:lvlText w:val=""/>
      <w:lvlJc w:val="left"/>
      <w:pPr>
        <w:ind w:left="1600" w:hanging="360"/>
      </w:pPr>
      <w:rPr>
        <w:rFonts w:ascii="Symbol" w:hAnsi="Symbol"/>
      </w:rPr>
    </w:lvl>
    <w:lvl w:ilvl="4" w:tplc="3E84B460">
      <w:start w:val="1"/>
      <w:numFmt w:val="bullet"/>
      <w:lvlText w:val="o"/>
      <w:lvlJc w:val="left"/>
      <w:pPr>
        <w:ind w:left="2000" w:hanging="360"/>
      </w:pPr>
      <w:rPr>
        <w:rFonts w:ascii="Courier New" w:hAnsi="Courier New"/>
      </w:rPr>
    </w:lvl>
    <w:lvl w:ilvl="5" w:tplc="6FF0CCAA">
      <w:start w:val="1"/>
      <w:numFmt w:val="bullet"/>
      <w:lvlText w:val=""/>
      <w:lvlJc w:val="left"/>
      <w:pPr>
        <w:ind w:left="2400" w:hanging="360"/>
      </w:pPr>
      <w:rPr>
        <w:rFonts w:ascii="Wingdings" w:hAnsi="Wingdings"/>
      </w:rPr>
    </w:lvl>
    <w:lvl w:ilvl="6" w:tplc="52006126">
      <w:start w:val="1"/>
      <w:numFmt w:val="bullet"/>
      <w:lvlText w:val=""/>
      <w:lvlJc w:val="left"/>
      <w:pPr>
        <w:ind w:left="2800" w:hanging="360"/>
      </w:pPr>
      <w:rPr>
        <w:rFonts w:ascii="Symbol" w:hAnsi="Symbol"/>
      </w:rPr>
    </w:lvl>
    <w:lvl w:ilvl="7" w:tplc="5BC4E2D0">
      <w:start w:val="1"/>
      <w:numFmt w:val="bullet"/>
      <w:lvlText w:val="o"/>
      <w:lvlJc w:val="left"/>
      <w:pPr>
        <w:ind w:left="3200" w:hanging="360"/>
      </w:pPr>
      <w:rPr>
        <w:rFonts w:ascii="Courier New" w:hAnsi="Courier New"/>
      </w:rPr>
    </w:lvl>
    <w:lvl w:ilvl="8" w:tplc="F9AA9ED2">
      <w:numFmt w:val="decimal"/>
      <w:lvlText w:val=""/>
      <w:lvlJc w:val="left"/>
    </w:lvl>
  </w:abstractNum>
  <w:abstractNum w:abstractNumId="9" w15:restartNumberingAfterBreak="0">
    <w:nsid w:val="642D5097"/>
    <w:multiLevelType w:val="hybridMultilevel"/>
    <w:tmpl w:val="D396B982"/>
    <w:lvl w:ilvl="0" w:tplc="2ED4CAA0">
      <w:start w:val="1"/>
      <w:numFmt w:val="bullet"/>
      <w:lvlText w:val=""/>
      <w:lvlJc w:val="left"/>
      <w:pPr>
        <w:ind w:left="400" w:hanging="360"/>
      </w:pPr>
      <w:rPr>
        <w:rFonts w:ascii="Symbol" w:hAnsi="Symbol"/>
      </w:rPr>
    </w:lvl>
    <w:lvl w:ilvl="1" w:tplc="12EAEB70">
      <w:start w:val="1"/>
      <w:numFmt w:val="bullet"/>
      <w:lvlText w:val="o"/>
      <w:lvlJc w:val="left"/>
      <w:pPr>
        <w:ind w:left="800" w:hanging="360"/>
      </w:pPr>
      <w:rPr>
        <w:rFonts w:ascii="Courier New" w:hAnsi="Courier New"/>
      </w:rPr>
    </w:lvl>
    <w:lvl w:ilvl="2" w:tplc="AE64B0F4">
      <w:start w:val="1"/>
      <w:numFmt w:val="bullet"/>
      <w:lvlText w:val=""/>
      <w:lvlJc w:val="left"/>
      <w:pPr>
        <w:ind w:left="1200" w:hanging="360"/>
      </w:pPr>
      <w:rPr>
        <w:rFonts w:ascii="Wingdings" w:hAnsi="Wingdings"/>
      </w:rPr>
    </w:lvl>
    <w:lvl w:ilvl="3" w:tplc="179C199C">
      <w:start w:val="1"/>
      <w:numFmt w:val="bullet"/>
      <w:lvlText w:val=""/>
      <w:lvlJc w:val="left"/>
      <w:pPr>
        <w:ind w:left="1600" w:hanging="360"/>
      </w:pPr>
      <w:rPr>
        <w:rFonts w:ascii="Symbol" w:hAnsi="Symbol"/>
      </w:rPr>
    </w:lvl>
    <w:lvl w:ilvl="4" w:tplc="BD16A79E">
      <w:start w:val="1"/>
      <w:numFmt w:val="bullet"/>
      <w:lvlText w:val="o"/>
      <w:lvlJc w:val="left"/>
      <w:pPr>
        <w:ind w:left="2000" w:hanging="360"/>
      </w:pPr>
      <w:rPr>
        <w:rFonts w:ascii="Courier New" w:hAnsi="Courier New"/>
      </w:rPr>
    </w:lvl>
    <w:lvl w:ilvl="5" w:tplc="D214EED8">
      <w:start w:val="1"/>
      <w:numFmt w:val="bullet"/>
      <w:lvlText w:val=""/>
      <w:lvlJc w:val="left"/>
      <w:pPr>
        <w:ind w:left="2400" w:hanging="360"/>
      </w:pPr>
      <w:rPr>
        <w:rFonts w:ascii="Wingdings" w:hAnsi="Wingdings"/>
      </w:rPr>
    </w:lvl>
    <w:lvl w:ilvl="6" w:tplc="9A122044">
      <w:start w:val="1"/>
      <w:numFmt w:val="bullet"/>
      <w:lvlText w:val=""/>
      <w:lvlJc w:val="left"/>
      <w:pPr>
        <w:ind w:left="2800" w:hanging="360"/>
      </w:pPr>
      <w:rPr>
        <w:rFonts w:ascii="Symbol" w:hAnsi="Symbol"/>
      </w:rPr>
    </w:lvl>
    <w:lvl w:ilvl="7" w:tplc="20DCF108">
      <w:start w:val="1"/>
      <w:numFmt w:val="bullet"/>
      <w:lvlText w:val="o"/>
      <w:lvlJc w:val="left"/>
      <w:pPr>
        <w:ind w:left="3200" w:hanging="360"/>
      </w:pPr>
      <w:rPr>
        <w:rFonts w:ascii="Courier New" w:hAnsi="Courier New"/>
      </w:rPr>
    </w:lvl>
    <w:lvl w:ilvl="8" w:tplc="7CB6B9E6">
      <w:numFmt w:val="decimal"/>
      <w:lvlText w:val=""/>
      <w:lvlJc w:val="left"/>
    </w:lvl>
  </w:abstractNum>
  <w:abstractNum w:abstractNumId="10" w15:restartNumberingAfterBreak="0">
    <w:nsid w:val="705A75A4"/>
    <w:multiLevelType w:val="hybridMultilevel"/>
    <w:tmpl w:val="EC424706"/>
    <w:lvl w:ilvl="0" w:tplc="1228F320">
      <w:start w:val="1"/>
      <w:numFmt w:val="decimal"/>
      <w:lvlText w:val="%1."/>
      <w:lvlJc w:val="left"/>
      <w:pPr>
        <w:ind w:left="400" w:hanging="360"/>
      </w:pPr>
    </w:lvl>
    <w:lvl w:ilvl="1" w:tplc="B5A29072">
      <w:start w:val="1"/>
      <w:numFmt w:val="lowerLetter"/>
      <w:lvlText w:val="%2."/>
      <w:lvlJc w:val="left"/>
      <w:pPr>
        <w:ind w:left="800" w:hanging="360"/>
      </w:pPr>
    </w:lvl>
    <w:lvl w:ilvl="2" w:tplc="0596C9DE">
      <w:start w:val="1"/>
      <w:numFmt w:val="lowerRoman"/>
      <w:lvlText w:val="%3."/>
      <w:lvlJc w:val="right"/>
      <w:pPr>
        <w:ind w:left="1200" w:hanging="180"/>
      </w:pPr>
    </w:lvl>
    <w:lvl w:ilvl="3" w:tplc="E1727A3C">
      <w:start w:val="1"/>
      <w:numFmt w:val="decimal"/>
      <w:lvlText w:val="%4."/>
      <w:lvlJc w:val="left"/>
      <w:pPr>
        <w:ind w:left="1600" w:hanging="360"/>
      </w:pPr>
    </w:lvl>
    <w:lvl w:ilvl="4" w:tplc="F4FCF5F2">
      <w:start w:val="1"/>
      <w:numFmt w:val="lowerLetter"/>
      <w:lvlText w:val="%5."/>
      <w:lvlJc w:val="left"/>
      <w:pPr>
        <w:ind w:left="2000" w:hanging="360"/>
      </w:pPr>
    </w:lvl>
    <w:lvl w:ilvl="5" w:tplc="EA2E7FA0">
      <w:start w:val="1"/>
      <w:numFmt w:val="lowerRoman"/>
      <w:lvlText w:val="%6."/>
      <w:lvlJc w:val="right"/>
      <w:pPr>
        <w:ind w:left="2400" w:hanging="180"/>
      </w:pPr>
    </w:lvl>
    <w:lvl w:ilvl="6" w:tplc="8926FA7C">
      <w:start w:val="1"/>
      <w:numFmt w:val="decimal"/>
      <w:lvlText w:val="%7."/>
      <w:lvlJc w:val="left"/>
      <w:pPr>
        <w:ind w:left="2800" w:hanging="360"/>
      </w:pPr>
    </w:lvl>
    <w:lvl w:ilvl="7" w:tplc="13E6DC3A">
      <w:start w:val="1"/>
      <w:numFmt w:val="lowerLetter"/>
      <w:lvlText w:val="%8."/>
      <w:lvlJc w:val="left"/>
      <w:pPr>
        <w:ind w:left="3200" w:hanging="360"/>
      </w:pPr>
    </w:lvl>
    <w:lvl w:ilvl="8" w:tplc="296C76CA">
      <w:numFmt w:val="decimal"/>
      <w:lvlText w:val=""/>
      <w:lvlJc w:val="left"/>
    </w:lvl>
  </w:abstractNum>
  <w:abstractNum w:abstractNumId="11" w15:restartNumberingAfterBreak="0">
    <w:nsid w:val="78924451"/>
    <w:multiLevelType w:val="hybridMultilevel"/>
    <w:tmpl w:val="0F0CC452"/>
    <w:lvl w:ilvl="0" w:tplc="0E1CCBE0">
      <w:start w:val="1"/>
      <w:numFmt w:val="bullet"/>
      <w:lvlText w:val=""/>
      <w:lvlJc w:val="left"/>
      <w:pPr>
        <w:ind w:left="400" w:hanging="360"/>
      </w:pPr>
      <w:rPr>
        <w:rFonts w:ascii="Symbol" w:hAnsi="Symbol"/>
      </w:rPr>
    </w:lvl>
    <w:lvl w:ilvl="1" w:tplc="C5A02190">
      <w:start w:val="1"/>
      <w:numFmt w:val="bullet"/>
      <w:lvlText w:val="o"/>
      <w:lvlJc w:val="left"/>
      <w:pPr>
        <w:ind w:left="800" w:hanging="360"/>
      </w:pPr>
      <w:rPr>
        <w:rFonts w:ascii="Courier New" w:hAnsi="Courier New"/>
      </w:rPr>
    </w:lvl>
    <w:lvl w:ilvl="2" w:tplc="FF12EA92">
      <w:start w:val="1"/>
      <w:numFmt w:val="bullet"/>
      <w:lvlText w:val=""/>
      <w:lvlJc w:val="left"/>
      <w:pPr>
        <w:ind w:left="1200" w:hanging="360"/>
      </w:pPr>
      <w:rPr>
        <w:rFonts w:ascii="Wingdings" w:hAnsi="Wingdings"/>
      </w:rPr>
    </w:lvl>
    <w:lvl w:ilvl="3" w:tplc="9E5EF8F4">
      <w:start w:val="1"/>
      <w:numFmt w:val="bullet"/>
      <w:lvlText w:val=""/>
      <w:lvlJc w:val="left"/>
      <w:pPr>
        <w:ind w:left="1600" w:hanging="360"/>
      </w:pPr>
      <w:rPr>
        <w:rFonts w:ascii="Symbol" w:hAnsi="Symbol"/>
      </w:rPr>
    </w:lvl>
    <w:lvl w:ilvl="4" w:tplc="5B5C5F38">
      <w:start w:val="1"/>
      <w:numFmt w:val="bullet"/>
      <w:lvlText w:val="o"/>
      <w:lvlJc w:val="left"/>
      <w:pPr>
        <w:ind w:left="2000" w:hanging="360"/>
      </w:pPr>
      <w:rPr>
        <w:rFonts w:ascii="Courier New" w:hAnsi="Courier New"/>
      </w:rPr>
    </w:lvl>
    <w:lvl w:ilvl="5" w:tplc="49443E00">
      <w:start w:val="1"/>
      <w:numFmt w:val="bullet"/>
      <w:lvlText w:val=""/>
      <w:lvlJc w:val="left"/>
      <w:pPr>
        <w:ind w:left="2400" w:hanging="360"/>
      </w:pPr>
      <w:rPr>
        <w:rFonts w:ascii="Wingdings" w:hAnsi="Wingdings"/>
      </w:rPr>
    </w:lvl>
    <w:lvl w:ilvl="6" w:tplc="E4D68EE4">
      <w:start w:val="1"/>
      <w:numFmt w:val="bullet"/>
      <w:lvlText w:val=""/>
      <w:lvlJc w:val="left"/>
      <w:pPr>
        <w:ind w:left="2800" w:hanging="360"/>
      </w:pPr>
      <w:rPr>
        <w:rFonts w:ascii="Symbol" w:hAnsi="Symbol"/>
      </w:rPr>
    </w:lvl>
    <w:lvl w:ilvl="7" w:tplc="5B7061CC">
      <w:start w:val="1"/>
      <w:numFmt w:val="bullet"/>
      <w:lvlText w:val="o"/>
      <w:lvlJc w:val="left"/>
      <w:pPr>
        <w:ind w:left="3200" w:hanging="360"/>
      </w:pPr>
      <w:rPr>
        <w:rFonts w:ascii="Courier New" w:hAnsi="Courier New"/>
      </w:rPr>
    </w:lvl>
    <w:lvl w:ilvl="8" w:tplc="553EB2EC">
      <w:numFmt w:val="decimal"/>
      <w:lvlText w:val=""/>
      <w:lvlJc w:val="left"/>
    </w:lvl>
  </w:abstractNum>
  <w:abstractNum w:abstractNumId="12" w15:restartNumberingAfterBreak="0">
    <w:nsid w:val="78B16950"/>
    <w:multiLevelType w:val="hybridMultilevel"/>
    <w:tmpl w:val="F48E755E"/>
    <w:lvl w:ilvl="0" w:tplc="FAF2C4C4">
      <w:start w:val="1"/>
      <w:numFmt w:val="bullet"/>
      <w:lvlText w:val=""/>
      <w:lvlJc w:val="left"/>
      <w:pPr>
        <w:ind w:left="400" w:hanging="360"/>
      </w:pPr>
      <w:rPr>
        <w:rFonts w:ascii="Symbol" w:hAnsi="Symbol"/>
      </w:rPr>
    </w:lvl>
    <w:lvl w:ilvl="1" w:tplc="06AC3414">
      <w:start w:val="1"/>
      <w:numFmt w:val="bullet"/>
      <w:lvlText w:val="o"/>
      <w:lvlJc w:val="left"/>
      <w:pPr>
        <w:ind w:left="800" w:hanging="360"/>
      </w:pPr>
      <w:rPr>
        <w:rFonts w:ascii="Courier New" w:hAnsi="Courier New"/>
      </w:rPr>
    </w:lvl>
    <w:lvl w:ilvl="2" w:tplc="4F88923C">
      <w:start w:val="1"/>
      <w:numFmt w:val="bullet"/>
      <w:lvlText w:val=""/>
      <w:lvlJc w:val="left"/>
      <w:pPr>
        <w:ind w:left="1200" w:hanging="360"/>
      </w:pPr>
      <w:rPr>
        <w:rFonts w:ascii="Wingdings" w:hAnsi="Wingdings"/>
      </w:rPr>
    </w:lvl>
    <w:lvl w:ilvl="3" w:tplc="AB1E2D98">
      <w:start w:val="1"/>
      <w:numFmt w:val="bullet"/>
      <w:lvlText w:val=""/>
      <w:lvlJc w:val="left"/>
      <w:pPr>
        <w:ind w:left="1600" w:hanging="360"/>
      </w:pPr>
      <w:rPr>
        <w:rFonts w:ascii="Symbol" w:hAnsi="Symbol"/>
      </w:rPr>
    </w:lvl>
    <w:lvl w:ilvl="4" w:tplc="8AB49254">
      <w:start w:val="1"/>
      <w:numFmt w:val="bullet"/>
      <w:lvlText w:val="o"/>
      <w:lvlJc w:val="left"/>
      <w:pPr>
        <w:ind w:left="2000" w:hanging="360"/>
      </w:pPr>
      <w:rPr>
        <w:rFonts w:ascii="Courier New" w:hAnsi="Courier New"/>
      </w:rPr>
    </w:lvl>
    <w:lvl w:ilvl="5" w:tplc="05167258">
      <w:start w:val="1"/>
      <w:numFmt w:val="bullet"/>
      <w:lvlText w:val=""/>
      <w:lvlJc w:val="left"/>
      <w:pPr>
        <w:ind w:left="2400" w:hanging="360"/>
      </w:pPr>
      <w:rPr>
        <w:rFonts w:ascii="Wingdings" w:hAnsi="Wingdings"/>
      </w:rPr>
    </w:lvl>
    <w:lvl w:ilvl="6" w:tplc="04FC72BA">
      <w:start w:val="1"/>
      <w:numFmt w:val="bullet"/>
      <w:lvlText w:val=""/>
      <w:lvlJc w:val="left"/>
      <w:pPr>
        <w:ind w:left="2800" w:hanging="360"/>
      </w:pPr>
      <w:rPr>
        <w:rFonts w:ascii="Symbol" w:hAnsi="Symbol"/>
      </w:rPr>
    </w:lvl>
    <w:lvl w:ilvl="7" w:tplc="D996077C">
      <w:start w:val="1"/>
      <w:numFmt w:val="bullet"/>
      <w:lvlText w:val="o"/>
      <w:lvlJc w:val="left"/>
      <w:pPr>
        <w:ind w:left="3200" w:hanging="360"/>
      </w:pPr>
      <w:rPr>
        <w:rFonts w:ascii="Courier New" w:hAnsi="Courier New"/>
      </w:rPr>
    </w:lvl>
    <w:lvl w:ilvl="8" w:tplc="9D2889C2">
      <w:numFmt w:val="decimal"/>
      <w:lvlText w:val=""/>
      <w:lvlJc w:val="left"/>
    </w:lvl>
  </w:abstractNum>
  <w:abstractNum w:abstractNumId="13" w15:restartNumberingAfterBreak="0">
    <w:nsid w:val="7A5C6A2E"/>
    <w:multiLevelType w:val="hybridMultilevel"/>
    <w:tmpl w:val="5AF60A38"/>
    <w:lvl w:ilvl="0" w:tplc="61042BBA">
      <w:start w:val="1"/>
      <w:numFmt w:val="decimal"/>
      <w:lvlText w:val="%1."/>
      <w:lvlJc w:val="left"/>
      <w:pPr>
        <w:ind w:left="400" w:hanging="360"/>
      </w:pPr>
    </w:lvl>
    <w:lvl w:ilvl="1" w:tplc="03808E42">
      <w:start w:val="1"/>
      <w:numFmt w:val="lowerLetter"/>
      <w:lvlText w:val="%2."/>
      <w:lvlJc w:val="left"/>
      <w:pPr>
        <w:ind w:left="800" w:hanging="360"/>
      </w:pPr>
    </w:lvl>
    <w:lvl w:ilvl="2" w:tplc="0854F3F6">
      <w:start w:val="1"/>
      <w:numFmt w:val="lowerRoman"/>
      <w:lvlText w:val="%3."/>
      <w:lvlJc w:val="right"/>
      <w:pPr>
        <w:ind w:left="1200" w:hanging="180"/>
      </w:pPr>
    </w:lvl>
    <w:lvl w:ilvl="3" w:tplc="C88640CE">
      <w:start w:val="1"/>
      <w:numFmt w:val="decimal"/>
      <w:lvlText w:val="%4."/>
      <w:lvlJc w:val="left"/>
      <w:pPr>
        <w:ind w:left="1600" w:hanging="360"/>
      </w:pPr>
    </w:lvl>
    <w:lvl w:ilvl="4" w:tplc="85C67FAA">
      <w:start w:val="1"/>
      <w:numFmt w:val="lowerLetter"/>
      <w:lvlText w:val="%5."/>
      <w:lvlJc w:val="left"/>
      <w:pPr>
        <w:ind w:left="2000" w:hanging="360"/>
      </w:pPr>
    </w:lvl>
    <w:lvl w:ilvl="5" w:tplc="37E832E2">
      <w:start w:val="1"/>
      <w:numFmt w:val="lowerRoman"/>
      <w:lvlText w:val="%6."/>
      <w:lvlJc w:val="right"/>
      <w:pPr>
        <w:ind w:left="2400" w:hanging="180"/>
      </w:pPr>
    </w:lvl>
    <w:lvl w:ilvl="6" w:tplc="6AC469CA">
      <w:start w:val="1"/>
      <w:numFmt w:val="decimal"/>
      <w:lvlText w:val="%7."/>
      <w:lvlJc w:val="left"/>
      <w:pPr>
        <w:ind w:left="2800" w:hanging="360"/>
      </w:pPr>
    </w:lvl>
    <w:lvl w:ilvl="7" w:tplc="DE3C4676">
      <w:start w:val="1"/>
      <w:numFmt w:val="lowerLetter"/>
      <w:lvlText w:val="%8."/>
      <w:lvlJc w:val="left"/>
      <w:pPr>
        <w:ind w:left="3200" w:hanging="360"/>
      </w:pPr>
    </w:lvl>
    <w:lvl w:ilvl="8" w:tplc="8EB405D0">
      <w:numFmt w:val="decimal"/>
      <w:lvlText w:val=""/>
      <w:lvlJc w:val="left"/>
    </w:lvl>
  </w:abstractNum>
  <w:abstractNum w:abstractNumId="14" w15:restartNumberingAfterBreak="0">
    <w:nsid w:val="7A710981"/>
    <w:multiLevelType w:val="hybridMultilevel"/>
    <w:tmpl w:val="8CAC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306219">
    <w:abstractNumId w:val="3"/>
  </w:num>
  <w:num w:numId="2" w16cid:durableId="177349317">
    <w:abstractNumId w:val="13"/>
  </w:num>
  <w:num w:numId="3" w16cid:durableId="1470440700">
    <w:abstractNumId w:val="10"/>
  </w:num>
  <w:num w:numId="4" w16cid:durableId="1637492744">
    <w:abstractNumId w:val="12"/>
  </w:num>
  <w:num w:numId="5" w16cid:durableId="1239483944">
    <w:abstractNumId w:val="9"/>
  </w:num>
  <w:num w:numId="6" w16cid:durableId="376050704">
    <w:abstractNumId w:val="11"/>
  </w:num>
  <w:num w:numId="7" w16cid:durableId="1546218263">
    <w:abstractNumId w:val="8"/>
  </w:num>
  <w:num w:numId="8" w16cid:durableId="999843283">
    <w:abstractNumId w:val="5"/>
  </w:num>
  <w:num w:numId="9" w16cid:durableId="356466096">
    <w:abstractNumId w:val="4"/>
  </w:num>
  <w:num w:numId="10" w16cid:durableId="106580968">
    <w:abstractNumId w:val="6"/>
  </w:num>
  <w:num w:numId="11" w16cid:durableId="1140196196">
    <w:abstractNumId w:val="7"/>
  </w:num>
  <w:num w:numId="12" w16cid:durableId="1908957383">
    <w:abstractNumId w:val="14"/>
  </w:num>
  <w:num w:numId="13" w16cid:durableId="1895308963">
    <w:abstractNumId w:val="2"/>
  </w:num>
  <w:num w:numId="14" w16cid:durableId="1048651958">
    <w:abstractNumId w:val="0"/>
  </w:num>
  <w:num w:numId="15" w16cid:durableId="1398479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6386A"/>
    <w:rsid w:val="00152591"/>
    <w:rsid w:val="0034531F"/>
    <w:rsid w:val="004F7558"/>
    <w:rsid w:val="006250E2"/>
    <w:rsid w:val="00882CFD"/>
    <w:rsid w:val="00B70E4A"/>
    <w:rsid w:val="00BB07DA"/>
    <w:rsid w:val="00DF736E"/>
    <w:rsid w:val="00E6386A"/>
    <w:rsid w:val="00F80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5ADBC6"/>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F7558"/>
    <w:rPr>
      <w:sz w:val="20"/>
      <w:szCs w:val="20"/>
    </w:rPr>
  </w:style>
  <w:style w:type="character" w:customStyle="1" w:styleId="FootnoteTextChar">
    <w:name w:val="Footnote Text Char"/>
    <w:basedOn w:val="DefaultParagraphFont"/>
    <w:link w:val="FootnoteText"/>
    <w:uiPriority w:val="99"/>
    <w:semiHidden/>
    <w:rsid w:val="004F7558"/>
    <w:rPr>
      <w:sz w:val="20"/>
      <w:szCs w:val="20"/>
    </w:rPr>
  </w:style>
  <w:style w:type="character" w:styleId="FootnoteReference">
    <w:name w:val="footnote reference"/>
    <w:basedOn w:val="DefaultParagraphFont"/>
    <w:uiPriority w:val="99"/>
    <w:semiHidden/>
    <w:unhideWhenUsed/>
    <w:rsid w:val="004F7558"/>
    <w:rPr>
      <w:vertAlign w:val="superscript"/>
    </w:rPr>
  </w:style>
  <w:style w:type="paragraph" w:styleId="ListParagraph">
    <w:name w:val="List Paragraph"/>
    <w:basedOn w:val="Normal"/>
    <w:link w:val="ListParagraphChar"/>
    <w:uiPriority w:val="34"/>
    <w:qFormat/>
    <w:rsid w:val="004F7558"/>
    <w:pPr>
      <w:ind w:left="720"/>
      <w:contextualSpacing/>
    </w:pPr>
  </w:style>
  <w:style w:type="table" w:styleId="TableGrid">
    <w:name w:val="Table Grid"/>
    <w:basedOn w:val="TableNormal"/>
    <w:uiPriority w:val="39"/>
    <w:rsid w:val="004F7558"/>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4F7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Carla Rey Christen</cp:lastModifiedBy>
  <cp:revision>4</cp:revision>
  <dcterms:created xsi:type="dcterms:W3CDTF">2024-06-02T14:22:00Z</dcterms:created>
  <dcterms:modified xsi:type="dcterms:W3CDTF">2024-07-12T14:08:00Z</dcterms:modified>
</cp:coreProperties>
</file>