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BBD2C" w14:textId="77777777" w:rsidR="00A355C3" w:rsidRDefault="00000000">
      <w:pPr>
        <w:spacing w:before="120" w:after="120"/>
        <w:jc w:val="center"/>
      </w:pPr>
      <w:r>
        <w:rPr>
          <w:noProof/>
        </w:rPr>
        <w:drawing>
          <wp:anchor distT="0" distB="0" distL="114300" distR="114300" simplePos="0" relativeHeight="251658240" behindDoc="0" locked="0" layoutInCell="1" allowOverlap="1" wp14:anchorId="4EC177D5" wp14:editId="6F1F0190">
            <wp:simplePos x="0" y="0"/>
            <wp:positionH relativeFrom="page">
              <wp:posOffset>0</wp:posOffset>
            </wp:positionH>
            <wp:positionV relativeFrom="paragraph">
              <wp:posOffset>0</wp:posOffset>
            </wp:positionV>
            <wp:extent cx="7562850" cy="2268855"/>
            <wp:effectExtent l="0" t="0" r="0" b="0"/>
            <wp:wrapTopAndBottom/>
            <wp:docPr id="1" name="Drawing 0" descr="7e5002aff5e33e48d1eb49e6b0300c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7e5002aff5e33e48d1eb49e6b0300c81.png"/>
                    <pic:cNvPicPr>
                      <a:picLocks noChangeAspect="1"/>
                    </pic:cNvPicPr>
                  </pic:nvPicPr>
                  <pic:blipFill>
                    <a:blip r:embed="rId7"/>
                    <a:stretch>
                      <a:fillRect/>
                    </a:stretch>
                  </pic:blipFill>
                  <pic:spPr>
                    <a:xfrm>
                      <a:off x="0" y="0"/>
                      <a:ext cx="7562850" cy="2268855"/>
                    </a:xfrm>
                    <a:prstGeom prst="rect">
                      <a:avLst/>
                    </a:prstGeom>
                  </pic:spPr>
                </pic:pic>
              </a:graphicData>
            </a:graphic>
          </wp:anchor>
        </w:drawing>
      </w:r>
    </w:p>
    <w:p w14:paraId="5D25023F" w14:textId="52BBABC8" w:rsidR="00A355C3" w:rsidRPr="003D5D3A" w:rsidRDefault="003D5D3A">
      <w:pPr>
        <w:spacing w:before="120" w:after="120" w:line="336" w:lineRule="auto"/>
        <w:rPr>
          <w:rFonts w:ascii="Bodoni 72 Book" w:hAnsi="Bodoni 72 Book"/>
          <w:lang w:val="es-ES"/>
        </w:rPr>
      </w:pPr>
      <w:r w:rsidRPr="003D5D3A">
        <w:rPr>
          <w:rFonts w:ascii="Bodoni 72 Book" w:eastAsia="Prata" w:hAnsi="Bodoni 72 Book" w:cs="Prata"/>
          <w:color w:val="897C75"/>
          <w:sz w:val="64"/>
          <w:szCs w:val="64"/>
          <w:lang w:val="es-ES"/>
        </w:rPr>
        <w:t xml:space="preserve">Consideraciones clave </w:t>
      </w:r>
    </w:p>
    <w:p w14:paraId="6FD40CBE" w14:textId="77777777" w:rsidR="00A355C3" w:rsidRPr="003D5D3A" w:rsidRDefault="00A355C3">
      <w:pPr>
        <w:pBdr>
          <w:bottom w:val="single" w:sz="6" w:space="0" w:color="897C75"/>
        </w:pBdr>
        <w:spacing w:before="120" w:after="120" w:line="0" w:lineRule="auto"/>
        <w:rPr>
          <w:lang w:val="es-ES"/>
        </w:rPr>
      </w:pPr>
    </w:p>
    <w:p w14:paraId="34F9CE69" w14:textId="766DCB93" w:rsidR="00A355C3" w:rsidRPr="003D5D3A" w:rsidRDefault="00000000" w:rsidP="00A0544A">
      <w:pPr>
        <w:spacing w:before="120" w:after="120" w:line="336" w:lineRule="auto"/>
        <w:jc w:val="both"/>
        <w:rPr>
          <w:rFonts w:ascii="Avenir Next" w:hAnsi="Avenir Next"/>
          <w:sz w:val="20"/>
          <w:szCs w:val="20"/>
          <w:lang w:val="es-ES"/>
        </w:rPr>
      </w:pPr>
      <w:r w:rsidRPr="003D5D3A">
        <w:rPr>
          <w:rFonts w:ascii="Avenir Next" w:eastAsia="Montserrat" w:hAnsi="Avenir Next" w:cs="Montserrat"/>
          <w:color w:val="000000"/>
          <w:sz w:val="20"/>
          <w:szCs w:val="20"/>
          <w:lang w:val="es-ES"/>
        </w:rPr>
        <w:t>Para recibir pagos basados ​​en resultados, los países deben presentar su resumen de información más reciente que demuestre cómo se han abordado y respetado las salvaguardas (generalmente denominado resumen de información o SOI)</w:t>
      </w:r>
      <w:r w:rsidR="003D5D3A" w:rsidRPr="003D5D3A">
        <w:rPr>
          <w:rStyle w:val="FootnoteReference"/>
          <w:rFonts w:ascii="Avenir Next" w:eastAsia="Montserrat" w:hAnsi="Avenir Next" w:cs="Montserrat"/>
          <w:color w:val="000000"/>
          <w:sz w:val="20"/>
          <w:szCs w:val="20"/>
          <w:lang w:val="es-ES"/>
        </w:rPr>
        <w:footnoteReference w:id="1"/>
      </w:r>
      <w:r w:rsidRPr="003D5D3A">
        <w:rPr>
          <w:rFonts w:ascii="Avenir Next" w:eastAsia="Montserrat" w:hAnsi="Avenir Next" w:cs="Montserrat"/>
          <w:color w:val="000000"/>
          <w:sz w:val="20"/>
          <w:szCs w:val="20"/>
          <w:lang w:val="es-ES"/>
        </w:rPr>
        <w:t>, que debe ser coherente con las orientaciones de la CMNUCC</w:t>
      </w:r>
      <w:r w:rsidR="003D5D3A" w:rsidRPr="003D5D3A">
        <w:rPr>
          <w:rStyle w:val="FootnoteReference"/>
          <w:rFonts w:ascii="Avenir Next" w:eastAsia="Montserrat" w:hAnsi="Avenir Next" w:cs="Montserrat"/>
          <w:color w:val="000000"/>
          <w:sz w:val="20"/>
          <w:szCs w:val="20"/>
          <w:lang w:val="es-ES"/>
        </w:rPr>
        <w:footnoteReference w:id="2"/>
      </w:r>
      <w:r w:rsidR="003D5D3A" w:rsidRPr="003D5D3A">
        <w:rPr>
          <w:rFonts w:ascii="Avenir Next" w:eastAsia="Montserrat" w:hAnsi="Avenir Next" w:cs="Montserrat"/>
          <w:color w:val="000000"/>
          <w:sz w:val="20"/>
          <w:szCs w:val="20"/>
          <w:lang w:val="es-ES"/>
        </w:rPr>
        <w:t xml:space="preserve"> </w:t>
      </w:r>
      <w:r w:rsidRPr="003D5D3A">
        <w:rPr>
          <w:rFonts w:ascii="Avenir Next" w:eastAsia="Montserrat" w:hAnsi="Avenir Next" w:cs="Montserrat"/>
          <w:color w:val="000000"/>
          <w:sz w:val="20"/>
          <w:szCs w:val="20"/>
          <w:lang w:val="es-ES"/>
        </w:rPr>
        <w:t xml:space="preserve">y las mejores prácticas internacionales. También se espera que los gobiernos subnacionales hayan presentado a la entidad gubernamental nacional correspondiente un informe de salvaguardas en la escala respectiva que sea consistente con los informes nacionales a la CMNUCC para cualquier año en el que se soliciten pagos basados ​​en resultados. </w:t>
      </w:r>
    </w:p>
    <w:p w14:paraId="4E6CD79F" w14:textId="066B088B" w:rsidR="003D5D3A" w:rsidRDefault="00000000" w:rsidP="00A0544A">
      <w:pPr>
        <w:spacing w:before="120" w:after="120" w:line="336" w:lineRule="auto"/>
        <w:jc w:val="both"/>
        <w:rPr>
          <w:rFonts w:ascii="Avenir Next" w:hAnsi="Avenir Next"/>
          <w:sz w:val="20"/>
          <w:szCs w:val="20"/>
          <w:lang w:val="es-ES"/>
        </w:rPr>
      </w:pPr>
      <w:r w:rsidRPr="003D5D3A">
        <w:rPr>
          <w:rFonts w:ascii="Avenir Next" w:eastAsia="Montserrat" w:hAnsi="Avenir Next" w:cs="Montserrat"/>
          <w:color w:val="000000"/>
          <w:sz w:val="20"/>
          <w:szCs w:val="20"/>
          <w:lang w:val="es-ES"/>
        </w:rPr>
        <w:t xml:space="preserve"> El sistema de información de salvaguardas (SIS) y el SOI están directamente relacionados. El SIS pretende servir como una herramienta para que cada país y jurisdicción recopile</w:t>
      </w:r>
      <w:r w:rsidR="00A0544A">
        <w:rPr>
          <w:rFonts w:ascii="Avenir Next" w:eastAsia="Montserrat" w:hAnsi="Avenir Next" w:cs="Montserrat"/>
          <w:color w:val="000000"/>
          <w:sz w:val="20"/>
          <w:szCs w:val="20"/>
          <w:lang w:val="es-ES"/>
        </w:rPr>
        <w:t xml:space="preserve"> </w:t>
      </w:r>
      <w:r w:rsidRPr="003D5D3A">
        <w:rPr>
          <w:rFonts w:ascii="Avenir Next" w:eastAsia="Montserrat" w:hAnsi="Avenir Next" w:cs="Montserrat"/>
          <w:color w:val="000000"/>
          <w:sz w:val="20"/>
          <w:szCs w:val="20"/>
          <w:lang w:val="es-ES"/>
        </w:rPr>
        <w:t>y proporcione información sobre cómo se abordan y respetan las salvaguardas durante la implementación de actividades de REDD+; mientras que el SOI es el medio por el cual los países y jurisdicciones de REDD+ comunicarán internacionalmente cómo están abordando y respetando las salvaguardas y, con el tiempo, es probable que sea un producto del SIS nacional</w:t>
      </w:r>
      <w:r w:rsidR="003D5D3A" w:rsidRPr="003D5D3A">
        <w:rPr>
          <w:rStyle w:val="FootnoteReference"/>
          <w:rFonts w:ascii="Avenir Next" w:eastAsia="Montserrat" w:hAnsi="Avenir Next" w:cs="Montserrat"/>
          <w:color w:val="000000"/>
          <w:sz w:val="20"/>
          <w:szCs w:val="20"/>
          <w:lang w:val="es-ES"/>
        </w:rPr>
        <w:footnoteReference w:id="3"/>
      </w:r>
      <w:r w:rsidRPr="003D5D3A">
        <w:rPr>
          <w:rFonts w:ascii="Avenir Next" w:eastAsia="Montserrat" w:hAnsi="Avenir Next" w:cs="Montserrat"/>
          <w:color w:val="000000"/>
          <w:sz w:val="20"/>
          <w:szCs w:val="20"/>
          <w:lang w:val="es-ES"/>
        </w:rPr>
        <w:t xml:space="preserve">. En este sentido, el SOI pretende servir como un mecanismo para informar las acciones relacionadas con al menos tres elementos: </w:t>
      </w:r>
    </w:p>
    <w:p w14:paraId="010B661F" w14:textId="77777777" w:rsidR="003D5D3A" w:rsidRPr="003D5D3A" w:rsidRDefault="00000000" w:rsidP="003D5D3A">
      <w:pPr>
        <w:pStyle w:val="ListParagraph"/>
        <w:numPr>
          <w:ilvl w:val="0"/>
          <w:numId w:val="11"/>
        </w:numPr>
        <w:spacing w:before="120" w:after="120" w:line="336" w:lineRule="auto"/>
        <w:rPr>
          <w:rFonts w:ascii="Avenir Next" w:hAnsi="Avenir Next"/>
          <w:sz w:val="20"/>
          <w:szCs w:val="20"/>
          <w:lang w:val="es-ES"/>
        </w:rPr>
      </w:pPr>
      <w:r w:rsidRPr="003D5D3A">
        <w:rPr>
          <w:rFonts w:ascii="Avenir Next" w:eastAsia="Montserrat" w:hAnsi="Avenir Next" w:cs="Montserrat"/>
          <w:color w:val="000000"/>
          <w:sz w:val="20"/>
          <w:szCs w:val="20"/>
          <w:lang w:val="es-ES"/>
        </w:rPr>
        <w:t xml:space="preserve">Cómo se han adoptado las salvaguardas en el contexto del país, </w:t>
      </w:r>
    </w:p>
    <w:p w14:paraId="6BD98FED" w14:textId="77777777" w:rsidR="003D5D3A" w:rsidRPr="003D5D3A" w:rsidRDefault="00000000" w:rsidP="003D5D3A">
      <w:pPr>
        <w:pStyle w:val="ListParagraph"/>
        <w:numPr>
          <w:ilvl w:val="0"/>
          <w:numId w:val="11"/>
        </w:numPr>
        <w:spacing w:before="120" w:after="120" w:line="336" w:lineRule="auto"/>
        <w:rPr>
          <w:rFonts w:ascii="Avenir Next" w:hAnsi="Avenir Next"/>
          <w:sz w:val="20"/>
          <w:szCs w:val="20"/>
          <w:lang w:val="es-ES"/>
        </w:rPr>
      </w:pPr>
      <w:r w:rsidRPr="003D5D3A">
        <w:rPr>
          <w:rFonts w:ascii="Avenir Next" w:eastAsia="Montserrat" w:hAnsi="Avenir Next" w:cs="Montserrat"/>
          <w:color w:val="000000"/>
          <w:sz w:val="20"/>
          <w:szCs w:val="20"/>
          <w:lang w:val="es-ES"/>
        </w:rPr>
        <w:t xml:space="preserve">Cómo se han abordado las salvaguardas, y </w:t>
      </w:r>
    </w:p>
    <w:p w14:paraId="3E292A79" w14:textId="78CD022E" w:rsidR="00A355C3" w:rsidRPr="003D5D3A" w:rsidRDefault="00000000" w:rsidP="003D5D3A">
      <w:pPr>
        <w:pStyle w:val="ListParagraph"/>
        <w:numPr>
          <w:ilvl w:val="0"/>
          <w:numId w:val="11"/>
        </w:numPr>
        <w:spacing w:before="120" w:after="120" w:line="336" w:lineRule="auto"/>
        <w:rPr>
          <w:rFonts w:ascii="Avenir Next" w:hAnsi="Avenir Next"/>
          <w:sz w:val="20"/>
          <w:szCs w:val="20"/>
          <w:lang w:val="es-ES"/>
        </w:rPr>
      </w:pPr>
      <w:r w:rsidRPr="003D5D3A">
        <w:rPr>
          <w:rFonts w:ascii="Avenir Next" w:eastAsia="Montserrat" w:hAnsi="Avenir Next" w:cs="Montserrat"/>
          <w:color w:val="000000"/>
          <w:sz w:val="20"/>
          <w:szCs w:val="20"/>
          <w:lang w:val="es-ES"/>
        </w:rPr>
        <w:t xml:space="preserve">Cómo se han respetado las salvaguardas. </w:t>
      </w:r>
    </w:p>
    <w:p w14:paraId="2870D190" w14:textId="77777777" w:rsidR="00A0544A" w:rsidRDefault="00000000">
      <w:pPr>
        <w:spacing w:before="120" w:after="120" w:line="336" w:lineRule="auto"/>
        <w:rPr>
          <w:rFonts w:ascii="Avenir Next" w:eastAsia="Montserrat" w:hAnsi="Avenir Next" w:cs="Montserrat"/>
          <w:color w:val="000000"/>
          <w:sz w:val="20"/>
          <w:szCs w:val="20"/>
          <w:lang w:val="es-ES"/>
        </w:rPr>
      </w:pPr>
      <w:r w:rsidRPr="003D5D3A">
        <w:rPr>
          <w:rFonts w:ascii="Avenir Next" w:eastAsia="Montserrat" w:hAnsi="Avenir Next" w:cs="Montserrat"/>
          <w:color w:val="000000"/>
          <w:sz w:val="20"/>
          <w:szCs w:val="20"/>
          <w:lang w:val="es-ES"/>
        </w:rPr>
        <w:lastRenderedPageBreak/>
        <w:t xml:space="preserve"> La CMNUCC proporciona alguna orientación sobre el contenido del SOI</w:t>
      </w:r>
      <w:r w:rsidR="003D5D3A" w:rsidRPr="003D5D3A">
        <w:rPr>
          <w:rStyle w:val="FootnoteReference"/>
          <w:rFonts w:ascii="Avenir Next" w:eastAsia="Montserrat" w:hAnsi="Avenir Next" w:cs="Montserrat"/>
          <w:color w:val="000000"/>
          <w:sz w:val="20"/>
          <w:szCs w:val="20"/>
          <w:lang w:val="es-ES"/>
        </w:rPr>
        <w:footnoteReference w:id="4"/>
      </w:r>
      <w:r w:rsidRPr="003D5D3A">
        <w:rPr>
          <w:rFonts w:ascii="Avenir Next" w:eastAsia="Montserrat" w:hAnsi="Avenir Next" w:cs="Montserrat"/>
          <w:color w:val="000000"/>
          <w:sz w:val="20"/>
          <w:szCs w:val="20"/>
          <w:lang w:val="es-ES"/>
        </w:rPr>
        <w:t xml:space="preserve">. </w:t>
      </w:r>
    </w:p>
    <w:p w14:paraId="4C4F2B37" w14:textId="26BC7F6A" w:rsidR="00A355C3" w:rsidRPr="003D5D3A" w:rsidRDefault="00000000">
      <w:pPr>
        <w:spacing w:before="120" w:after="120" w:line="336" w:lineRule="auto"/>
        <w:rPr>
          <w:rFonts w:ascii="Avenir Next" w:hAnsi="Avenir Next"/>
          <w:sz w:val="20"/>
          <w:szCs w:val="20"/>
          <w:lang w:val="es-ES"/>
        </w:rPr>
      </w:pPr>
      <w:r w:rsidRPr="003D5D3A">
        <w:rPr>
          <w:rFonts w:ascii="Avenir Next" w:eastAsia="Montserrat" w:hAnsi="Avenir Next" w:cs="Montserrat"/>
          <w:color w:val="000000"/>
          <w:sz w:val="20"/>
          <w:szCs w:val="20"/>
          <w:lang w:val="es-ES"/>
        </w:rPr>
        <w:t xml:space="preserve">El SOI debe incluir los siguientes elementos, cuando corresponda: </w:t>
      </w:r>
    </w:p>
    <w:p w14:paraId="26D159DB" w14:textId="77777777" w:rsidR="003D5D3A" w:rsidRPr="003D5D3A" w:rsidRDefault="00000000" w:rsidP="003D5D3A">
      <w:pPr>
        <w:pStyle w:val="ListParagraph"/>
        <w:numPr>
          <w:ilvl w:val="0"/>
          <w:numId w:val="12"/>
        </w:numPr>
        <w:spacing w:line="336" w:lineRule="auto"/>
        <w:rPr>
          <w:rFonts w:ascii="Avenir Next" w:hAnsi="Avenir Next"/>
          <w:sz w:val="20"/>
          <w:szCs w:val="20"/>
          <w:lang w:val="es-ES"/>
        </w:rPr>
      </w:pPr>
      <w:r w:rsidRPr="003D5D3A">
        <w:rPr>
          <w:rFonts w:ascii="Avenir Next" w:eastAsia="Montserrat" w:hAnsi="Avenir Next" w:cs="Montserrat"/>
          <w:color w:val="000000"/>
          <w:sz w:val="20"/>
          <w:szCs w:val="20"/>
          <w:lang w:val="es-ES"/>
        </w:rPr>
        <w:t xml:space="preserve">Información sobre circunstancias nacionales relevantes para abordar y respetar las salvaguardas; </w:t>
      </w:r>
    </w:p>
    <w:p w14:paraId="3C054F1C" w14:textId="77777777" w:rsidR="003D5D3A" w:rsidRPr="003D5D3A" w:rsidRDefault="00000000" w:rsidP="003D5D3A">
      <w:pPr>
        <w:pStyle w:val="ListParagraph"/>
        <w:numPr>
          <w:ilvl w:val="0"/>
          <w:numId w:val="12"/>
        </w:numPr>
        <w:spacing w:line="336" w:lineRule="auto"/>
        <w:rPr>
          <w:rFonts w:ascii="Avenir Next" w:hAnsi="Avenir Next"/>
          <w:sz w:val="20"/>
          <w:szCs w:val="20"/>
          <w:lang w:val="es-ES"/>
        </w:rPr>
      </w:pPr>
      <w:r w:rsidRPr="003D5D3A">
        <w:rPr>
          <w:rFonts w:ascii="Avenir Next" w:eastAsia="Montserrat" w:hAnsi="Avenir Next" w:cs="Montserrat"/>
          <w:color w:val="000000"/>
          <w:sz w:val="20"/>
          <w:szCs w:val="20"/>
          <w:lang w:val="es-ES"/>
        </w:rPr>
        <w:t xml:space="preserve">Una descripción de cada salvaguarda de acuerdo con las circunstancias nacionales; </w:t>
      </w:r>
    </w:p>
    <w:p w14:paraId="107BF4FD" w14:textId="77777777" w:rsidR="003D5D3A" w:rsidRPr="003D5D3A" w:rsidRDefault="00000000" w:rsidP="003D5D3A">
      <w:pPr>
        <w:pStyle w:val="ListParagraph"/>
        <w:numPr>
          <w:ilvl w:val="0"/>
          <w:numId w:val="12"/>
        </w:numPr>
        <w:spacing w:line="336" w:lineRule="auto"/>
        <w:rPr>
          <w:rFonts w:ascii="Avenir Next" w:hAnsi="Avenir Next"/>
          <w:sz w:val="20"/>
          <w:szCs w:val="20"/>
          <w:lang w:val="es-ES"/>
        </w:rPr>
      </w:pPr>
      <w:r w:rsidRPr="003D5D3A">
        <w:rPr>
          <w:rFonts w:ascii="Avenir Next" w:eastAsia="Montserrat" w:hAnsi="Avenir Next" w:cs="Montserrat"/>
          <w:color w:val="000000"/>
          <w:sz w:val="20"/>
          <w:szCs w:val="20"/>
          <w:lang w:val="es-ES"/>
        </w:rPr>
        <w:t xml:space="preserve">Una descripción de los sistemas y procesos existentes pertinentes para abordar y respetar las salvaguardas, incluidos los sistemas de información a que se refiere la decisión 12/CP.17, de conformidad con las circunstancias nacionales; </w:t>
      </w:r>
    </w:p>
    <w:p w14:paraId="229232BC" w14:textId="1CB61623" w:rsidR="00A355C3" w:rsidRPr="003D5D3A" w:rsidRDefault="00000000" w:rsidP="003D5D3A">
      <w:pPr>
        <w:pStyle w:val="ListParagraph"/>
        <w:numPr>
          <w:ilvl w:val="0"/>
          <w:numId w:val="12"/>
        </w:numPr>
        <w:spacing w:line="336" w:lineRule="auto"/>
        <w:rPr>
          <w:rFonts w:ascii="Avenir Next" w:hAnsi="Avenir Next"/>
          <w:sz w:val="20"/>
          <w:szCs w:val="20"/>
          <w:lang w:val="es-ES"/>
        </w:rPr>
      </w:pPr>
      <w:r w:rsidRPr="003D5D3A">
        <w:rPr>
          <w:rFonts w:ascii="Avenir Next" w:eastAsia="Montserrat" w:hAnsi="Avenir Next" w:cs="Montserrat"/>
          <w:color w:val="000000"/>
          <w:sz w:val="20"/>
          <w:szCs w:val="20"/>
          <w:lang w:val="es-ES"/>
        </w:rPr>
        <w:t xml:space="preserve">Información sobre cómo se ha abordado y respetado cada una de las salvaguardas, de acuerdo con las circunstancias nacionales; </w:t>
      </w:r>
    </w:p>
    <w:p w14:paraId="70A7AADC" w14:textId="6E50DB3D" w:rsidR="00A355C3" w:rsidRPr="003D5D3A" w:rsidRDefault="00000000">
      <w:pPr>
        <w:spacing w:before="120" w:after="120" w:line="336" w:lineRule="auto"/>
        <w:rPr>
          <w:rFonts w:ascii="Avenir Next" w:hAnsi="Avenir Next"/>
          <w:sz w:val="20"/>
          <w:szCs w:val="20"/>
          <w:lang w:val="es-ES"/>
        </w:rPr>
      </w:pPr>
      <w:r w:rsidRPr="003D5D3A">
        <w:rPr>
          <w:rFonts w:ascii="Avenir Next" w:eastAsia="Montserrat" w:hAnsi="Avenir Next" w:cs="Montserrat"/>
          <w:color w:val="000000"/>
          <w:sz w:val="20"/>
          <w:szCs w:val="20"/>
          <w:lang w:val="es-ES"/>
        </w:rPr>
        <w:t xml:space="preserve">La CMNUCC también alienta a proporcionar cualquier otra información relevante y a mejorar la información proporcionada, teniendo en cuenta el enfoque gradual. </w:t>
      </w:r>
    </w:p>
    <w:p w14:paraId="5DF223DC" w14:textId="1D7EAFD9" w:rsidR="00A355C3" w:rsidRPr="003D5D3A" w:rsidRDefault="00000000">
      <w:pPr>
        <w:spacing w:before="120" w:after="120" w:line="336" w:lineRule="auto"/>
        <w:rPr>
          <w:rFonts w:ascii="Avenir Next" w:hAnsi="Avenir Next"/>
          <w:sz w:val="20"/>
          <w:szCs w:val="20"/>
          <w:lang w:val="es-ES"/>
        </w:rPr>
      </w:pPr>
      <w:r w:rsidRPr="003D5D3A">
        <w:rPr>
          <w:rFonts w:ascii="Avenir Next" w:eastAsia="Montserrat" w:hAnsi="Avenir Next" w:cs="Montserrat"/>
          <w:color w:val="000000"/>
          <w:sz w:val="20"/>
          <w:szCs w:val="20"/>
          <w:lang w:val="es-ES"/>
        </w:rPr>
        <w:t>La decisión de la CMNUCC también especifica</w:t>
      </w:r>
      <w:r w:rsidR="003D5D3A" w:rsidRPr="003D5D3A">
        <w:rPr>
          <w:rStyle w:val="FootnoteReference"/>
          <w:rFonts w:ascii="Avenir Next" w:eastAsia="Montserrat" w:hAnsi="Avenir Next" w:cs="Montserrat"/>
          <w:color w:val="000000"/>
          <w:sz w:val="20"/>
          <w:szCs w:val="20"/>
          <w:lang w:val="es-ES"/>
        </w:rPr>
        <w:footnoteReference w:id="5"/>
      </w:r>
      <w:r w:rsidRPr="003D5D3A">
        <w:rPr>
          <w:rFonts w:ascii="Avenir Next" w:eastAsia="Montserrat" w:hAnsi="Avenir Next" w:cs="Montserrat"/>
          <w:color w:val="000000"/>
          <w:sz w:val="20"/>
          <w:szCs w:val="20"/>
          <w:lang w:val="es-ES"/>
        </w:rPr>
        <w:t xml:space="preserve"> que el SOI debe proporcionarse después del inicio de la implementación de las actividades de REDD+ con las comunicaciones nacionales, o de forma voluntaria, a través de la plataforma web de la CMNUCC, o cualquier otro medio acordado por la COP. </w:t>
      </w:r>
    </w:p>
    <w:p w14:paraId="12170026" w14:textId="77777777" w:rsidR="003D5D3A" w:rsidRDefault="00000000">
      <w:pPr>
        <w:spacing w:before="120" w:after="120" w:line="336" w:lineRule="auto"/>
        <w:rPr>
          <w:rFonts w:ascii="Avenir Next" w:hAnsi="Avenir Next"/>
          <w:sz w:val="20"/>
          <w:szCs w:val="20"/>
          <w:lang w:val="es-ES"/>
        </w:rPr>
      </w:pPr>
      <w:r w:rsidRPr="003D5D3A">
        <w:rPr>
          <w:rFonts w:ascii="Avenir Next" w:eastAsia="Montserrat" w:hAnsi="Avenir Next" w:cs="Montserrat"/>
          <w:color w:val="000000"/>
          <w:sz w:val="20"/>
          <w:szCs w:val="20"/>
          <w:lang w:val="es-ES"/>
        </w:rPr>
        <w:t>En alineación con la orientación de la CMNUCC, las mejores prácticas internacionales</w:t>
      </w:r>
      <w:r w:rsidR="003D5D3A" w:rsidRPr="003D5D3A">
        <w:rPr>
          <w:rStyle w:val="FootnoteReference"/>
          <w:rFonts w:ascii="Avenir Next" w:eastAsia="Montserrat" w:hAnsi="Avenir Next" w:cs="Montserrat"/>
          <w:color w:val="000000"/>
          <w:sz w:val="20"/>
          <w:szCs w:val="20"/>
          <w:lang w:val="es-ES"/>
        </w:rPr>
        <w:footnoteReference w:id="6"/>
      </w:r>
      <w:r w:rsidR="003D5D3A" w:rsidRPr="003D5D3A">
        <w:rPr>
          <w:rStyle w:val="FootnoteReference"/>
          <w:rFonts w:ascii="Avenir Next" w:eastAsia="Montserrat" w:hAnsi="Avenir Next" w:cs="Montserrat"/>
          <w:color w:val="000000"/>
          <w:sz w:val="20"/>
          <w:szCs w:val="20"/>
          <w:lang w:val="es-ES"/>
        </w:rPr>
        <w:footnoteReference w:id="7"/>
      </w:r>
      <w:r w:rsidRPr="003D5D3A">
        <w:rPr>
          <w:rFonts w:ascii="Avenir Next" w:eastAsia="Montserrat" w:hAnsi="Avenir Next" w:cs="Montserrat"/>
          <w:color w:val="000000"/>
          <w:sz w:val="20"/>
          <w:szCs w:val="20"/>
          <w:lang w:val="es-ES"/>
        </w:rPr>
        <w:t xml:space="preserve">, sobre el contenido y la estructura del SOI, consideran los siguientes componentes: </w:t>
      </w:r>
    </w:p>
    <w:p w14:paraId="78024E68" w14:textId="77777777" w:rsidR="003D5D3A" w:rsidRPr="003D5D3A" w:rsidRDefault="00000000" w:rsidP="003D5D3A">
      <w:pPr>
        <w:pStyle w:val="ListParagraph"/>
        <w:numPr>
          <w:ilvl w:val="0"/>
          <w:numId w:val="13"/>
        </w:numPr>
        <w:spacing w:before="120" w:after="120" w:line="336" w:lineRule="auto"/>
        <w:rPr>
          <w:rFonts w:ascii="Avenir Next" w:hAnsi="Avenir Next"/>
          <w:sz w:val="20"/>
          <w:szCs w:val="20"/>
          <w:lang w:val="es-ES"/>
        </w:rPr>
      </w:pPr>
      <w:r w:rsidRPr="003D5D3A">
        <w:rPr>
          <w:rFonts w:ascii="Avenir Next" w:eastAsia="Montserrat Bold" w:hAnsi="Avenir Next" w:cs="Montserrat Bold"/>
          <w:b/>
          <w:bCs/>
          <w:color w:val="000000"/>
          <w:sz w:val="20"/>
          <w:szCs w:val="20"/>
          <w:lang w:val="es-ES"/>
        </w:rPr>
        <w:t>Introducción</w:t>
      </w:r>
      <w:r w:rsidRPr="003D5D3A">
        <w:rPr>
          <w:rFonts w:ascii="Avenir Next" w:eastAsia="Montserrat" w:hAnsi="Avenir Next" w:cs="Montserrat"/>
          <w:color w:val="000000"/>
          <w:sz w:val="20"/>
          <w:szCs w:val="20"/>
          <w:lang w:val="es-ES"/>
        </w:rPr>
        <w:t xml:space="preserve">: esta sección puede establecer el alcance del informe, incluidos los compromisos de salvaguardas aplicables que informan la formulación y difusión de este informe, los objetivos específicos de este informe y el período de informe asociado. </w:t>
      </w:r>
    </w:p>
    <w:p w14:paraId="5461B68E" w14:textId="77777777" w:rsidR="003D5D3A" w:rsidRPr="003D5D3A" w:rsidRDefault="00000000" w:rsidP="003D5D3A">
      <w:pPr>
        <w:pStyle w:val="ListParagraph"/>
        <w:numPr>
          <w:ilvl w:val="0"/>
          <w:numId w:val="13"/>
        </w:numPr>
        <w:spacing w:before="120" w:after="120" w:line="336" w:lineRule="auto"/>
        <w:rPr>
          <w:rFonts w:ascii="Avenir Next" w:hAnsi="Avenir Next"/>
          <w:sz w:val="20"/>
          <w:szCs w:val="20"/>
          <w:lang w:val="es-ES"/>
        </w:rPr>
      </w:pPr>
      <w:r w:rsidRPr="003D5D3A">
        <w:rPr>
          <w:rFonts w:ascii="Avenir Next" w:eastAsia="Montserrat Bold" w:hAnsi="Avenir Next" w:cs="Montserrat Bold"/>
          <w:b/>
          <w:bCs/>
          <w:color w:val="000000"/>
          <w:sz w:val="20"/>
          <w:szCs w:val="20"/>
          <w:lang w:val="es-ES"/>
        </w:rPr>
        <w:t xml:space="preserve">Contexto nacional y descripción general de REDD+: </w:t>
      </w:r>
      <w:r w:rsidRPr="003D5D3A">
        <w:rPr>
          <w:rFonts w:ascii="Avenir Next" w:eastAsia="Montserrat" w:hAnsi="Avenir Next" w:cs="Montserrat"/>
          <w:color w:val="000000"/>
          <w:sz w:val="20"/>
          <w:szCs w:val="20"/>
          <w:lang w:val="es-ES"/>
        </w:rPr>
        <w:t xml:space="preserve">esta sección puede proporcionar una descripción clara del alcance, escala y etapa de diseño e implementación de las acciones de REDD+ que están sujetas a este período de presentación de informes. </w:t>
      </w:r>
    </w:p>
    <w:p w14:paraId="45CB0AB3" w14:textId="77777777" w:rsidR="003D5D3A" w:rsidRPr="003D5D3A" w:rsidRDefault="00000000" w:rsidP="003D5D3A">
      <w:pPr>
        <w:pStyle w:val="ListParagraph"/>
        <w:numPr>
          <w:ilvl w:val="0"/>
          <w:numId w:val="13"/>
        </w:numPr>
        <w:spacing w:before="120" w:after="120" w:line="336" w:lineRule="auto"/>
        <w:rPr>
          <w:rFonts w:ascii="Avenir Next" w:hAnsi="Avenir Next"/>
          <w:sz w:val="20"/>
          <w:szCs w:val="20"/>
          <w:lang w:val="es-ES"/>
        </w:rPr>
      </w:pPr>
      <w:r w:rsidRPr="003D5D3A">
        <w:rPr>
          <w:rFonts w:ascii="Avenir Next" w:eastAsia="Montserrat Bold" w:hAnsi="Avenir Next" w:cs="Montserrat Bold"/>
          <w:b/>
          <w:bCs/>
          <w:color w:val="000000"/>
          <w:sz w:val="20"/>
          <w:szCs w:val="20"/>
          <w:lang w:val="es-ES"/>
        </w:rPr>
        <w:t xml:space="preserve">Descripción de cada salvaguarda: </w:t>
      </w:r>
      <w:r w:rsidRPr="003D5D3A">
        <w:rPr>
          <w:rFonts w:ascii="Avenir Next" w:eastAsia="Montserrat" w:hAnsi="Avenir Next" w:cs="Montserrat"/>
          <w:color w:val="000000"/>
          <w:sz w:val="20"/>
          <w:szCs w:val="20"/>
          <w:lang w:val="es-ES"/>
        </w:rPr>
        <w:t xml:space="preserve">esta sección puede explicar cómo el país entiende cada una de las salvaguardas REDD+ de la CMNUCC, según el contexto y las circunstancias específicas del país. Un gran número de países han desarrollado su descripción como parte de su enfoque de salvaguardas.  La descripción de salvaguardas puede presentarse como un texto narrativo con varios elementos; o un conjunto de </w:t>
      </w:r>
      <w:r w:rsidRPr="003D5D3A">
        <w:rPr>
          <w:rFonts w:ascii="Avenir Next" w:eastAsia="Montserrat" w:hAnsi="Avenir Next" w:cs="Montserrat"/>
          <w:color w:val="000000"/>
          <w:sz w:val="20"/>
          <w:szCs w:val="20"/>
          <w:lang w:val="es-ES"/>
        </w:rPr>
        <w:lastRenderedPageBreak/>
        <w:t xml:space="preserve">principios y criterios definidos para cada salvaguarda. Esta sección puede incluirse en el primer SOI y en los SOI posteriores si están sujetos a actualizaciones. </w:t>
      </w:r>
    </w:p>
    <w:p w14:paraId="0D9F3E03" w14:textId="77777777" w:rsidR="003D5D3A" w:rsidRPr="003D5D3A" w:rsidRDefault="00000000" w:rsidP="003D5D3A">
      <w:pPr>
        <w:pStyle w:val="ListParagraph"/>
        <w:numPr>
          <w:ilvl w:val="0"/>
          <w:numId w:val="13"/>
        </w:numPr>
        <w:spacing w:before="120" w:after="120" w:line="336" w:lineRule="auto"/>
        <w:rPr>
          <w:rFonts w:ascii="Avenir Next" w:hAnsi="Avenir Next"/>
          <w:sz w:val="20"/>
          <w:szCs w:val="20"/>
          <w:lang w:val="es-ES"/>
        </w:rPr>
      </w:pPr>
      <w:r w:rsidRPr="003D5D3A">
        <w:rPr>
          <w:rFonts w:ascii="Avenir Next" w:eastAsia="Montserrat Bold" w:hAnsi="Avenir Next" w:cs="Montserrat Bold"/>
          <w:b/>
          <w:bCs/>
          <w:color w:val="000000"/>
          <w:sz w:val="20"/>
          <w:szCs w:val="20"/>
          <w:lang w:val="es-ES"/>
        </w:rPr>
        <w:t xml:space="preserve">Conformidad con las salvaguardas de REDD+: </w:t>
      </w:r>
      <w:r w:rsidRPr="003D5D3A">
        <w:rPr>
          <w:rFonts w:ascii="Avenir Next" w:eastAsia="Montserrat" w:hAnsi="Avenir Next" w:cs="Montserrat"/>
          <w:color w:val="000000"/>
          <w:sz w:val="20"/>
          <w:szCs w:val="20"/>
          <w:lang w:val="es-ES"/>
        </w:rPr>
        <w:t>esta sección puede proporcionar información sobre cómo se están abordando y respetando las siete salvaguardas a lo largo de la implementación de las acciones de REDD+, para cada período de resultados específico. Generalmente, esta sección incluiría información sobre los acuerdos de gobernanza de las jurisdicciones vigentes para garantizar la aplicación de las salvaguardas y cuáles son los resultados asociados (por ejemplo, cómo se han respetado las salvaguardas de REDD+ al implementar acciones de REDD+). Esta sección también puede identificar desafíos (si los hay) para garantizar el cumplimiento de las salvaguardas durante la implementación de las acciones REDD+, e identificar posibles medidas de mejora.</w:t>
      </w:r>
    </w:p>
    <w:p w14:paraId="7792BB00" w14:textId="518C477C" w:rsidR="00A355C3" w:rsidRPr="003D5D3A" w:rsidRDefault="00000000" w:rsidP="003D5D3A">
      <w:pPr>
        <w:pStyle w:val="ListParagraph"/>
        <w:numPr>
          <w:ilvl w:val="0"/>
          <w:numId w:val="13"/>
        </w:numPr>
        <w:spacing w:before="120" w:after="120" w:line="336" w:lineRule="auto"/>
        <w:rPr>
          <w:rFonts w:ascii="Avenir Next" w:hAnsi="Avenir Next"/>
          <w:sz w:val="20"/>
          <w:szCs w:val="20"/>
          <w:lang w:val="es-ES"/>
        </w:rPr>
      </w:pPr>
      <w:r w:rsidRPr="003D5D3A">
        <w:rPr>
          <w:rFonts w:ascii="Avenir Next" w:eastAsia="Montserrat Bold" w:hAnsi="Avenir Next" w:cs="Montserrat Bold"/>
          <w:b/>
          <w:bCs/>
          <w:color w:val="000000"/>
          <w:sz w:val="20"/>
          <w:szCs w:val="20"/>
          <w:lang w:val="es-ES"/>
        </w:rPr>
        <w:t xml:space="preserve">Participación de las partes interesadas: </w:t>
      </w:r>
      <w:r w:rsidRPr="003D5D3A">
        <w:rPr>
          <w:rFonts w:ascii="Avenir Next" w:eastAsia="Montserrat" w:hAnsi="Avenir Next" w:cs="Montserrat"/>
          <w:color w:val="000000"/>
          <w:sz w:val="20"/>
          <w:szCs w:val="20"/>
          <w:lang w:val="es-ES"/>
        </w:rPr>
        <w:t xml:space="preserve">esta sección puede incluir información relacionada con el proceso de participación de las partes interesadas para la preparación de este informe, cómo se integraron sus aportes en este informe. </w:t>
      </w:r>
    </w:p>
    <w:p w14:paraId="7189A002" w14:textId="77777777" w:rsidR="003D5D3A" w:rsidRDefault="00000000">
      <w:pPr>
        <w:spacing w:before="120" w:after="120" w:line="336" w:lineRule="auto"/>
        <w:rPr>
          <w:rFonts w:ascii="Avenir Next" w:hAnsi="Avenir Next"/>
          <w:sz w:val="20"/>
          <w:szCs w:val="20"/>
          <w:lang w:val="es-ES"/>
        </w:rPr>
      </w:pPr>
      <w:r w:rsidRPr="003D5D3A">
        <w:rPr>
          <w:rFonts w:ascii="Avenir Next" w:eastAsia="Montserrat" w:hAnsi="Avenir Next" w:cs="Montserrat"/>
          <w:color w:val="000000"/>
          <w:sz w:val="20"/>
          <w:szCs w:val="20"/>
          <w:lang w:val="es-ES"/>
        </w:rPr>
        <w:t xml:space="preserve">Por lo tanto, esta herramienta está destinada a ayudar a los programas J-REDD+ a comprender mejor: </w:t>
      </w:r>
    </w:p>
    <w:p w14:paraId="000CF435" w14:textId="77777777" w:rsidR="003D5D3A" w:rsidRPr="003D5D3A" w:rsidRDefault="00000000" w:rsidP="003D5D3A">
      <w:pPr>
        <w:pStyle w:val="ListParagraph"/>
        <w:numPr>
          <w:ilvl w:val="0"/>
          <w:numId w:val="14"/>
        </w:numPr>
        <w:spacing w:before="120" w:after="120" w:line="336" w:lineRule="auto"/>
        <w:rPr>
          <w:rFonts w:ascii="Avenir Next" w:hAnsi="Avenir Next"/>
          <w:sz w:val="20"/>
          <w:szCs w:val="20"/>
          <w:lang w:val="es-ES"/>
        </w:rPr>
      </w:pPr>
      <w:r w:rsidRPr="003D5D3A">
        <w:rPr>
          <w:rFonts w:ascii="Avenir Next" w:eastAsia="Montserrat" w:hAnsi="Avenir Next" w:cs="Montserrat"/>
          <w:color w:val="000000"/>
          <w:sz w:val="20"/>
          <w:szCs w:val="20"/>
          <w:lang w:val="es-ES"/>
        </w:rPr>
        <w:t xml:space="preserve">El nivel de alineación de su resumen de información en correlación con las orientaciones de la CMNUCC y las mejores prácticas internacionales. </w:t>
      </w:r>
    </w:p>
    <w:p w14:paraId="0002ACF7" w14:textId="2BFF6686" w:rsidR="00A355C3" w:rsidRPr="003D5D3A" w:rsidRDefault="00000000" w:rsidP="003D5D3A">
      <w:pPr>
        <w:pStyle w:val="ListParagraph"/>
        <w:numPr>
          <w:ilvl w:val="0"/>
          <w:numId w:val="14"/>
        </w:numPr>
        <w:spacing w:before="120" w:after="120" w:line="336" w:lineRule="auto"/>
        <w:rPr>
          <w:rFonts w:ascii="Avenir Next" w:hAnsi="Avenir Next"/>
          <w:sz w:val="20"/>
          <w:szCs w:val="20"/>
          <w:lang w:val="es-ES"/>
        </w:rPr>
      </w:pPr>
      <w:r w:rsidRPr="003D5D3A">
        <w:rPr>
          <w:rFonts w:ascii="Avenir Next" w:eastAsia="Montserrat" w:hAnsi="Avenir Next" w:cs="Montserrat"/>
          <w:color w:val="000000"/>
          <w:sz w:val="20"/>
          <w:szCs w:val="20"/>
          <w:lang w:val="es-ES"/>
        </w:rPr>
        <w:t xml:space="preserve">Identificar cualquier brecha, debilidad y/o posible inconsistencia en estos acuerdos, e identificar recomendaciones para abordarlas. </w:t>
      </w:r>
    </w:p>
    <w:p w14:paraId="01B235C2" w14:textId="614241D0" w:rsidR="00A355C3" w:rsidRPr="003D5D3A" w:rsidRDefault="003D5D3A">
      <w:pPr>
        <w:spacing w:before="120" w:after="120" w:line="336" w:lineRule="auto"/>
        <w:rPr>
          <w:rFonts w:ascii="Bodoni 72 Book" w:hAnsi="Bodoni 72 Book"/>
          <w:lang w:val="es-ES"/>
        </w:rPr>
      </w:pPr>
      <w:r w:rsidRPr="003D5D3A">
        <w:rPr>
          <w:rFonts w:ascii="Bodoni 72 Book" w:eastAsia="Prata" w:hAnsi="Bodoni 72 Book" w:cs="Prata"/>
          <w:color w:val="897C75"/>
          <w:sz w:val="64"/>
          <w:szCs w:val="64"/>
          <w:lang w:val="es-ES"/>
        </w:rPr>
        <w:t>¿Cómo utilizar esta herramienta?</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9030"/>
      </w:tblGrid>
      <w:tr w:rsidR="00A355C3" w:rsidRPr="003D5D3A" w14:paraId="4F1CB286" w14:textId="77777777">
        <w:tc>
          <w:tcPr>
            <w:tcW w:w="9030" w:type="dxa"/>
            <w:shd w:val="clear" w:color="auto" w:fill="DECABE"/>
            <w:tcMar>
              <w:top w:w="180" w:type="dxa"/>
              <w:left w:w="180" w:type="dxa"/>
              <w:bottom w:w="180" w:type="dxa"/>
              <w:right w:w="180" w:type="dxa"/>
            </w:tcMar>
          </w:tcPr>
          <w:p w14:paraId="3DAFBA08" w14:textId="77777777" w:rsidR="003D5D3A" w:rsidRDefault="00000000" w:rsidP="003D5D3A">
            <w:pPr>
              <w:spacing w:before="120" w:after="120" w:line="336" w:lineRule="auto"/>
              <w:rPr>
                <w:rFonts w:ascii="Avenir Next" w:eastAsia="IBM Plex Sans" w:hAnsi="Avenir Next" w:cs="IBM Plex Sans"/>
                <w:color w:val="000000"/>
                <w:sz w:val="20"/>
                <w:szCs w:val="20"/>
                <w:lang w:val="es-ES"/>
              </w:rPr>
            </w:pPr>
            <w:r w:rsidRPr="003D5D3A">
              <w:rPr>
                <w:rFonts w:ascii="Avenir Next" w:eastAsia="IBM Plex Sans" w:hAnsi="Avenir Next" w:cs="IBM Plex Sans"/>
                <w:color w:val="000000"/>
                <w:sz w:val="20"/>
                <w:szCs w:val="20"/>
                <w:lang w:val="es-ES"/>
              </w:rPr>
              <w:t xml:space="preserve">Esta herramienta se divide en dos secciones: </w:t>
            </w:r>
          </w:p>
          <w:p w14:paraId="222B0FD6" w14:textId="77777777" w:rsidR="003D5D3A" w:rsidRPr="003D5D3A" w:rsidRDefault="00000000" w:rsidP="003D5D3A">
            <w:pPr>
              <w:pStyle w:val="ListParagraph"/>
              <w:numPr>
                <w:ilvl w:val="0"/>
                <w:numId w:val="15"/>
              </w:numPr>
              <w:spacing w:before="120" w:after="120" w:line="336" w:lineRule="auto"/>
              <w:rPr>
                <w:rFonts w:ascii="Avenir Next" w:hAnsi="Avenir Next"/>
                <w:sz w:val="20"/>
                <w:szCs w:val="20"/>
                <w:lang w:val="es-ES"/>
              </w:rPr>
            </w:pPr>
            <w:r w:rsidRPr="003D5D3A">
              <w:rPr>
                <w:rFonts w:ascii="Avenir Next" w:eastAsia="IBM Plex Sans Bold" w:hAnsi="Avenir Next" w:cs="IBM Plex Sans Bold"/>
                <w:b/>
                <w:bCs/>
                <w:color w:val="000000"/>
                <w:sz w:val="20"/>
                <w:szCs w:val="20"/>
                <w:lang w:val="es-ES"/>
              </w:rPr>
              <w:t xml:space="preserve">Sección A: </w:t>
            </w:r>
            <w:r w:rsidRPr="003D5D3A">
              <w:rPr>
                <w:rFonts w:ascii="Avenir Next" w:eastAsia="IBM Plex Sans" w:hAnsi="Avenir Next" w:cs="IBM Plex Sans"/>
                <w:color w:val="000000"/>
                <w:sz w:val="20"/>
                <w:szCs w:val="20"/>
                <w:lang w:val="es-ES"/>
              </w:rPr>
              <w:t xml:space="preserve">presenta un cuestionario que guía a los usuarios a través de la evaluación técnica cualitativa del SOI. </w:t>
            </w:r>
          </w:p>
          <w:p w14:paraId="1AE144E5" w14:textId="6660946D" w:rsidR="00A355C3" w:rsidRPr="003D5D3A" w:rsidRDefault="00000000" w:rsidP="003D5D3A">
            <w:pPr>
              <w:pStyle w:val="ListParagraph"/>
              <w:numPr>
                <w:ilvl w:val="0"/>
                <w:numId w:val="15"/>
              </w:numPr>
              <w:spacing w:before="120" w:after="120" w:line="336" w:lineRule="auto"/>
              <w:rPr>
                <w:rFonts w:ascii="Avenir Next" w:hAnsi="Avenir Next"/>
                <w:sz w:val="20"/>
                <w:szCs w:val="20"/>
                <w:lang w:val="es-ES"/>
              </w:rPr>
            </w:pPr>
            <w:r w:rsidRPr="003D5D3A">
              <w:rPr>
                <w:rFonts w:ascii="Avenir Next" w:eastAsia="IBM Plex Sans Bold" w:hAnsi="Avenir Next" w:cs="IBM Plex Sans Bold"/>
                <w:b/>
                <w:bCs/>
                <w:color w:val="000000"/>
                <w:sz w:val="20"/>
                <w:szCs w:val="20"/>
                <w:lang w:val="es-ES"/>
              </w:rPr>
              <w:t xml:space="preserve">Sección B: </w:t>
            </w:r>
            <w:r w:rsidRPr="003D5D3A">
              <w:rPr>
                <w:rFonts w:ascii="Avenir Next" w:eastAsia="IBM Plex Sans" w:hAnsi="Avenir Next" w:cs="IBM Plex Sans"/>
                <w:color w:val="000000"/>
                <w:sz w:val="20"/>
                <w:szCs w:val="20"/>
                <w:lang w:val="es-ES"/>
              </w:rPr>
              <w:t>presenta una plantilla de informe, que se completará en función de los resultados de la Sección 'A', e informará el desarrollo de las hojas de ruta de J-REDD+ (Herramienta 8).</w:t>
            </w:r>
            <w:r w:rsidRPr="003D5D3A">
              <w:rPr>
                <w:rFonts w:ascii="IBM Plex Sans" w:eastAsia="IBM Plex Sans" w:hAnsi="IBM Plex Sans" w:cs="IBM Plex Sans"/>
                <w:color w:val="000000"/>
                <w:sz w:val="22"/>
                <w:szCs w:val="22"/>
                <w:lang w:val="es-ES"/>
              </w:rPr>
              <w:t xml:space="preserve"> </w:t>
            </w:r>
          </w:p>
        </w:tc>
      </w:tr>
    </w:tbl>
    <w:p w14:paraId="3B84ED01" w14:textId="77777777" w:rsidR="003D5D3A" w:rsidRDefault="003D5D3A">
      <w:pPr>
        <w:spacing w:before="120" w:after="120" w:line="336" w:lineRule="auto"/>
        <w:rPr>
          <w:rFonts w:ascii="Montserrat" w:eastAsia="Montserrat" w:hAnsi="Montserrat" w:cs="Montserrat"/>
          <w:color w:val="000000"/>
          <w:sz w:val="64"/>
          <w:szCs w:val="64"/>
          <w:lang w:val="es-ES"/>
        </w:rPr>
        <w:sectPr w:rsidR="003D5D3A" w:rsidSect="00480509">
          <w:pgSz w:w="11910" w:h="16845"/>
          <w:pgMar w:top="1440" w:right="1440" w:bottom="1440" w:left="1440" w:header="720" w:footer="720" w:gutter="0"/>
          <w:cols w:space="720"/>
        </w:sectPr>
      </w:pPr>
    </w:p>
    <w:p w14:paraId="48C419B0" w14:textId="77777777" w:rsidR="003D5D3A" w:rsidRPr="003D5D3A" w:rsidRDefault="003D5D3A" w:rsidP="003D5D3A">
      <w:pPr>
        <w:spacing w:before="120" w:after="120" w:line="336" w:lineRule="auto"/>
        <w:rPr>
          <w:rFonts w:ascii="Bodoni 72 Book" w:eastAsia="Montserrat" w:hAnsi="Bodoni 72 Book" w:cs="Montserrat"/>
          <w:color w:val="897B75"/>
          <w:sz w:val="64"/>
          <w:szCs w:val="64"/>
          <w:lang w:val="es-ES"/>
        </w:rPr>
      </w:pPr>
      <w:r w:rsidRPr="003D5D3A">
        <w:rPr>
          <w:rFonts w:ascii="Bodoni 72 Book" w:eastAsia="Montserrat" w:hAnsi="Bodoni 72 Book" w:cs="Montserrat"/>
          <w:color w:val="897B75"/>
          <w:sz w:val="64"/>
          <w:szCs w:val="64"/>
          <w:lang w:val="es-ES"/>
        </w:rPr>
        <w:lastRenderedPageBreak/>
        <w:t>Sección A - Cuestionario</w:t>
      </w:r>
    </w:p>
    <w:p w14:paraId="5AFF31F2" w14:textId="495C764F" w:rsidR="003D5D3A" w:rsidRPr="004A7BC4" w:rsidRDefault="003D5D3A" w:rsidP="003D5D3A">
      <w:pPr>
        <w:spacing w:before="120" w:after="120" w:line="336" w:lineRule="auto"/>
        <w:rPr>
          <w:rFonts w:ascii="Avenir Next" w:eastAsia="IBM Plex Sans" w:hAnsi="Avenir Next" w:cs="IBM Plex Sans"/>
          <w:color w:val="000000"/>
          <w:sz w:val="20"/>
          <w:szCs w:val="20"/>
          <w:lang w:val="es-ES"/>
        </w:rPr>
      </w:pPr>
      <w:r w:rsidRPr="003D5D3A">
        <w:rPr>
          <w:rFonts w:ascii="Avenir Next" w:eastAsia="IBM Plex Sans" w:hAnsi="Avenir Next" w:cs="IBM Plex Sans"/>
          <w:color w:val="000000"/>
          <w:sz w:val="20"/>
          <w:szCs w:val="20"/>
          <w:lang w:val="es-ES"/>
        </w:rPr>
        <w:t>El cuestionario está estructurado en diferentes categorías, que se correlacionan con la orientación de la CMNUCC y las mejores prácticas internacionales.</w:t>
      </w:r>
    </w:p>
    <w:p w14:paraId="0B2BF758" w14:textId="77777777" w:rsidR="003D5D3A" w:rsidRPr="004A7BC4" w:rsidRDefault="003D5D3A" w:rsidP="003D5D3A">
      <w:pPr>
        <w:pStyle w:val="ListParagraph"/>
        <w:numPr>
          <w:ilvl w:val="0"/>
          <w:numId w:val="16"/>
        </w:numPr>
        <w:spacing w:before="120" w:after="120" w:line="336" w:lineRule="auto"/>
        <w:rPr>
          <w:rFonts w:ascii="Avenir Next" w:eastAsia="IBM Plex Sans" w:hAnsi="Avenir Next" w:cs="IBM Plex Sans"/>
          <w:color w:val="000000"/>
          <w:sz w:val="20"/>
          <w:szCs w:val="20"/>
          <w:lang w:val="es-ES"/>
        </w:rPr>
      </w:pPr>
      <w:r w:rsidRPr="004A7BC4">
        <w:rPr>
          <w:rFonts w:ascii="Avenir Next" w:eastAsia="IBM Plex Sans" w:hAnsi="Avenir Next" w:cs="IBM Plex Sans"/>
          <w:color w:val="000000"/>
          <w:sz w:val="20"/>
          <w:szCs w:val="20"/>
          <w:u w:val="single"/>
          <w:lang w:val="es-ES"/>
        </w:rPr>
        <w:t>Preguntas:</w:t>
      </w:r>
      <w:r w:rsidRPr="004A7BC4">
        <w:rPr>
          <w:rFonts w:ascii="Avenir Next" w:eastAsia="IBM Plex Sans" w:hAnsi="Avenir Next" w:cs="IBM Plex Sans"/>
          <w:color w:val="000000"/>
          <w:sz w:val="20"/>
          <w:szCs w:val="20"/>
          <w:lang w:val="es-ES"/>
        </w:rPr>
        <w:t xml:space="preserve"> presenta preguntas orientativas para los usuarios.</w:t>
      </w:r>
    </w:p>
    <w:p w14:paraId="30BCAA0F" w14:textId="77777777" w:rsidR="003D5D3A" w:rsidRPr="004A7BC4" w:rsidRDefault="003D5D3A" w:rsidP="003D5D3A">
      <w:pPr>
        <w:pStyle w:val="ListParagraph"/>
        <w:numPr>
          <w:ilvl w:val="0"/>
          <w:numId w:val="16"/>
        </w:numPr>
        <w:spacing w:before="120" w:after="120" w:line="336" w:lineRule="auto"/>
        <w:rPr>
          <w:rFonts w:ascii="Avenir Next" w:eastAsia="IBM Plex Sans" w:hAnsi="Avenir Next" w:cs="IBM Plex Sans"/>
          <w:color w:val="000000"/>
          <w:sz w:val="20"/>
          <w:szCs w:val="20"/>
          <w:lang w:val="es-ES"/>
        </w:rPr>
      </w:pPr>
      <w:r w:rsidRPr="004A7BC4">
        <w:rPr>
          <w:rFonts w:ascii="Avenir Next" w:eastAsia="IBM Plex Sans" w:hAnsi="Avenir Next" w:cs="IBM Plex Sans"/>
          <w:color w:val="000000"/>
          <w:sz w:val="20"/>
          <w:szCs w:val="20"/>
          <w:u w:val="single"/>
          <w:lang w:val="es-ES"/>
        </w:rPr>
        <w:t>Puntuación:</w:t>
      </w:r>
      <w:r w:rsidRPr="004A7BC4">
        <w:rPr>
          <w:rFonts w:ascii="Avenir Next" w:eastAsia="IBM Plex Sans" w:hAnsi="Avenir Next" w:cs="IBM Plex Sans"/>
          <w:color w:val="000000"/>
          <w:sz w:val="20"/>
          <w:szCs w:val="20"/>
          <w:lang w:val="es-ES"/>
        </w:rPr>
        <w:t xml:space="preserve"> al responder las preguntas guía, los usuarios deben aplicar la siguiente guía de puntuación:</w:t>
      </w:r>
    </w:p>
    <w:p w14:paraId="50D4D90A" w14:textId="770DAF6B" w:rsidR="003D5D3A" w:rsidRPr="003D5D3A" w:rsidRDefault="003D5D3A" w:rsidP="003D5D3A">
      <w:pPr>
        <w:pStyle w:val="ListParagraph"/>
        <w:numPr>
          <w:ilvl w:val="1"/>
          <w:numId w:val="16"/>
        </w:numPr>
        <w:spacing w:before="120" w:after="120" w:line="336" w:lineRule="auto"/>
        <w:rPr>
          <w:rFonts w:ascii="Avenir Next" w:eastAsia="IBM Plex Sans" w:hAnsi="Avenir Next" w:cs="IBM Plex Sans"/>
          <w:color w:val="000000"/>
          <w:sz w:val="20"/>
          <w:szCs w:val="20"/>
          <w:lang w:val="es-ES"/>
        </w:rPr>
      </w:pPr>
      <w:r w:rsidRPr="004A7BC4">
        <w:rPr>
          <w:rFonts w:ascii="Avenir Next" w:hAnsi="Avenir Next"/>
          <w:noProof/>
          <w:sz w:val="20"/>
          <w:szCs w:val="20"/>
          <w:lang w:val="es-ES"/>
        </w:rPr>
        <w:drawing>
          <wp:anchor distT="0" distB="0" distL="114300" distR="114300" simplePos="0" relativeHeight="251661312" behindDoc="1" locked="0" layoutInCell="1" allowOverlap="1" wp14:anchorId="322D618C" wp14:editId="12040C02">
            <wp:simplePos x="0" y="0"/>
            <wp:positionH relativeFrom="column">
              <wp:posOffset>5138057</wp:posOffset>
            </wp:positionH>
            <wp:positionV relativeFrom="paragraph">
              <wp:posOffset>57423</wp:posOffset>
            </wp:positionV>
            <wp:extent cx="335915" cy="268605"/>
            <wp:effectExtent l="0" t="0" r="0" b="0"/>
            <wp:wrapSquare wrapText="bothSides"/>
            <wp:docPr id="21" name="Drawing 1" descr="f2129134-ddea-4724-8cc3-5f6403e83add.png"/>
            <wp:cNvGraphicFramePr/>
            <a:graphic xmlns:a="http://schemas.openxmlformats.org/drawingml/2006/main">
              <a:graphicData uri="http://schemas.openxmlformats.org/drawingml/2006/picture">
                <pic:pic xmlns:pic="http://schemas.openxmlformats.org/drawingml/2006/picture">
                  <pic:nvPicPr>
                    <pic:cNvPr id="0" name="Picture 1" descr="f2129134-ddea-4724-8cc3-5f6403e83add.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915" cy="268605"/>
                    </a:xfrm>
                    <a:prstGeom prst="rect">
                      <a:avLst/>
                    </a:prstGeom>
                  </pic:spPr>
                </pic:pic>
              </a:graphicData>
            </a:graphic>
            <wp14:sizeRelH relativeFrom="page">
              <wp14:pctWidth>0</wp14:pctWidth>
            </wp14:sizeRelH>
            <wp14:sizeRelV relativeFrom="page">
              <wp14:pctHeight>0</wp14:pctHeight>
            </wp14:sizeRelV>
          </wp:anchor>
        </w:drawing>
      </w:r>
      <w:r w:rsidRPr="004A7BC4">
        <w:rPr>
          <w:rFonts w:ascii="Avenir Next" w:eastAsia="IBM Plex Sans" w:hAnsi="Avenir Next" w:cs="IBM Plex Sans"/>
          <w:color w:val="000000"/>
          <w:sz w:val="20"/>
          <w:szCs w:val="20"/>
          <w:lang w:val="es-ES"/>
        </w:rPr>
        <w:t xml:space="preserve"> </w:t>
      </w:r>
      <w:r w:rsidRPr="003D5D3A">
        <w:rPr>
          <w:rFonts w:ascii="Avenir Next" w:eastAsia="IBM Plex Sans" w:hAnsi="Avenir Next" w:cs="IBM Plex Sans"/>
          <w:b/>
          <w:bCs/>
          <w:color w:val="000000"/>
          <w:sz w:val="20"/>
          <w:szCs w:val="20"/>
          <w:lang w:val="es-ES"/>
        </w:rPr>
        <w:t>Si</w:t>
      </w:r>
      <w:r w:rsidRPr="003D5D3A">
        <w:rPr>
          <w:rFonts w:ascii="Avenir Next" w:eastAsia="IBM Plex Sans" w:hAnsi="Avenir Next" w:cs="IBM Plex Sans"/>
          <w:color w:val="000000"/>
          <w:sz w:val="20"/>
          <w:szCs w:val="20"/>
          <w:lang w:val="es-ES"/>
        </w:rPr>
        <w:t xml:space="preserve">: </w:t>
      </w:r>
      <w:r w:rsidR="006C4611">
        <w:rPr>
          <w:rFonts w:ascii="Avenir Next" w:eastAsia="IBM Plex Sans" w:hAnsi="Avenir Next" w:cs="IBM Plex Sans"/>
          <w:color w:val="000000"/>
          <w:sz w:val="20"/>
          <w:szCs w:val="20"/>
          <w:lang w:val="es-ES"/>
        </w:rPr>
        <w:t>e</w:t>
      </w:r>
      <w:r w:rsidRPr="003D5D3A">
        <w:rPr>
          <w:rFonts w:ascii="Avenir Next" w:eastAsia="IBM Plex Sans" w:hAnsi="Avenir Next" w:cs="IBM Plex Sans"/>
          <w:color w:val="000000"/>
          <w:sz w:val="20"/>
          <w:szCs w:val="20"/>
          <w:lang w:val="es-ES"/>
        </w:rPr>
        <w:t>l SOI incorpora este aspecto de conformidad con directrices y/o mejores prácticas pertinentes.</w:t>
      </w:r>
    </w:p>
    <w:p w14:paraId="10973B70" w14:textId="66FD8C6E" w:rsidR="003D5D3A" w:rsidRPr="003D5D3A" w:rsidRDefault="003D5D3A" w:rsidP="003D5D3A">
      <w:pPr>
        <w:pStyle w:val="ListParagraph"/>
        <w:numPr>
          <w:ilvl w:val="1"/>
          <w:numId w:val="16"/>
        </w:numPr>
        <w:spacing w:before="120" w:after="120" w:line="336" w:lineRule="auto"/>
        <w:rPr>
          <w:rFonts w:ascii="Avenir Next" w:eastAsia="IBM Plex Sans" w:hAnsi="Avenir Next" w:cs="IBM Plex Sans"/>
          <w:color w:val="000000"/>
          <w:sz w:val="20"/>
          <w:szCs w:val="20"/>
          <w:lang w:val="es-ES"/>
        </w:rPr>
      </w:pPr>
      <w:r w:rsidRPr="003D5D3A">
        <w:rPr>
          <w:rFonts w:ascii="Avenir Next" w:eastAsia="IBM Plex Sans" w:hAnsi="Avenir Next" w:cs="IBM Plex Sans"/>
          <w:color w:val="000000"/>
          <w:sz w:val="20"/>
          <w:szCs w:val="20"/>
          <w:lang w:val="es-ES"/>
        </w:rPr>
        <w:t xml:space="preserve"> </w:t>
      </w:r>
      <w:r w:rsidRPr="003D5D3A">
        <w:rPr>
          <w:rFonts w:ascii="Avenir Next" w:eastAsia="IBM Plex Sans" w:hAnsi="Avenir Next" w:cs="IBM Plex Sans"/>
          <w:b/>
          <w:bCs/>
          <w:color w:val="000000"/>
          <w:sz w:val="20"/>
          <w:szCs w:val="20"/>
          <w:lang w:val="es-ES"/>
        </w:rPr>
        <w:t>Parcialmente</w:t>
      </w:r>
      <w:r w:rsidRPr="003D5D3A">
        <w:rPr>
          <w:rFonts w:ascii="Avenir Next" w:eastAsia="IBM Plex Sans" w:hAnsi="Avenir Next" w:cs="IBM Plex Sans"/>
          <w:color w:val="000000"/>
          <w:sz w:val="20"/>
          <w:szCs w:val="20"/>
          <w:lang w:val="es-ES"/>
        </w:rPr>
        <w:t xml:space="preserve">: </w:t>
      </w:r>
      <w:r w:rsidR="006C4611">
        <w:rPr>
          <w:rFonts w:ascii="Avenir Next" w:eastAsia="IBM Plex Sans" w:hAnsi="Avenir Next" w:cs="IBM Plex Sans"/>
          <w:color w:val="000000"/>
          <w:sz w:val="20"/>
          <w:szCs w:val="20"/>
          <w:lang w:val="es-ES"/>
        </w:rPr>
        <w:t>e</w:t>
      </w:r>
      <w:r w:rsidRPr="003D5D3A">
        <w:rPr>
          <w:rFonts w:ascii="Avenir Next" w:eastAsia="IBM Plex Sans" w:hAnsi="Avenir Next" w:cs="IBM Plex Sans"/>
          <w:color w:val="000000"/>
          <w:sz w:val="20"/>
          <w:szCs w:val="20"/>
          <w:lang w:val="es-ES"/>
        </w:rPr>
        <w:t>l SOI incorpora parcialmente este aspecto de conformidad con guías y/o mejores prácticas relevantes. Hay algunas lagunas que es necesario abordar.</w:t>
      </w:r>
    </w:p>
    <w:p w14:paraId="08B3EDF7" w14:textId="51B22DB4" w:rsidR="003D5D3A" w:rsidRPr="003D5D3A" w:rsidRDefault="003D5D3A" w:rsidP="003D5D3A">
      <w:pPr>
        <w:pStyle w:val="ListParagraph"/>
        <w:numPr>
          <w:ilvl w:val="1"/>
          <w:numId w:val="16"/>
        </w:numPr>
        <w:spacing w:before="120" w:after="120" w:line="336" w:lineRule="auto"/>
        <w:rPr>
          <w:rFonts w:ascii="Avenir Next" w:eastAsia="IBM Plex Sans" w:hAnsi="Avenir Next" w:cs="IBM Plex Sans"/>
          <w:color w:val="000000"/>
          <w:sz w:val="20"/>
          <w:szCs w:val="20"/>
          <w:lang w:val="es-ES"/>
        </w:rPr>
      </w:pPr>
      <w:r w:rsidRPr="003D5D3A">
        <w:rPr>
          <w:rFonts w:ascii="Avenir Next" w:hAnsi="Avenir Next"/>
          <w:noProof/>
          <w:sz w:val="20"/>
          <w:szCs w:val="20"/>
          <w:lang w:val="es-ES"/>
        </w:rPr>
        <w:drawing>
          <wp:anchor distT="0" distB="0" distL="114300" distR="114300" simplePos="0" relativeHeight="251662336" behindDoc="0" locked="0" layoutInCell="1" allowOverlap="1" wp14:anchorId="404D5B87" wp14:editId="3A5CA977">
            <wp:simplePos x="0" y="0"/>
            <wp:positionH relativeFrom="column">
              <wp:posOffset>4956720</wp:posOffset>
            </wp:positionH>
            <wp:positionV relativeFrom="paragraph">
              <wp:posOffset>122555</wp:posOffset>
            </wp:positionV>
            <wp:extent cx="322580" cy="281940"/>
            <wp:effectExtent l="0" t="0" r="0" b="0"/>
            <wp:wrapSquare wrapText="bothSides"/>
            <wp:docPr id="22" name="Drawing 2" descr="581de573-096f-4890-afa8-efcc489609f0.png"/>
            <wp:cNvGraphicFramePr/>
            <a:graphic xmlns:a="http://schemas.openxmlformats.org/drawingml/2006/main">
              <a:graphicData uri="http://schemas.openxmlformats.org/drawingml/2006/picture">
                <pic:pic xmlns:pic="http://schemas.openxmlformats.org/drawingml/2006/picture">
                  <pic:nvPicPr>
                    <pic:cNvPr id="0" name="Picture 2" descr="581de573-096f-4890-afa8-efcc489609f0.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580" cy="281940"/>
                    </a:xfrm>
                    <a:prstGeom prst="rect">
                      <a:avLst/>
                    </a:prstGeom>
                  </pic:spPr>
                </pic:pic>
              </a:graphicData>
            </a:graphic>
            <wp14:sizeRelH relativeFrom="page">
              <wp14:pctWidth>0</wp14:pctWidth>
            </wp14:sizeRelH>
            <wp14:sizeRelV relativeFrom="page">
              <wp14:pctHeight>0</wp14:pctHeight>
            </wp14:sizeRelV>
          </wp:anchor>
        </w:drawing>
      </w:r>
      <w:r w:rsidRPr="003D5D3A">
        <w:rPr>
          <w:rFonts w:ascii="Avenir Next" w:eastAsia="IBM Plex Sans" w:hAnsi="Avenir Next" w:cs="IBM Plex Sans"/>
          <w:b/>
          <w:bCs/>
          <w:color w:val="000000"/>
          <w:sz w:val="20"/>
          <w:szCs w:val="20"/>
          <w:lang w:val="es-ES"/>
        </w:rPr>
        <w:t>No</w:t>
      </w:r>
      <w:r w:rsidRPr="003D5D3A">
        <w:rPr>
          <w:rFonts w:ascii="Avenir Next" w:eastAsia="IBM Plex Sans" w:hAnsi="Avenir Next" w:cs="IBM Plex Sans"/>
          <w:color w:val="000000"/>
          <w:sz w:val="20"/>
          <w:szCs w:val="20"/>
          <w:lang w:val="es-ES"/>
        </w:rPr>
        <w:t xml:space="preserve">: </w:t>
      </w:r>
      <w:r w:rsidR="006C4611">
        <w:rPr>
          <w:rFonts w:ascii="Avenir Next" w:eastAsia="IBM Plex Sans" w:hAnsi="Avenir Next" w:cs="IBM Plex Sans"/>
          <w:color w:val="000000"/>
          <w:sz w:val="20"/>
          <w:szCs w:val="20"/>
          <w:lang w:val="es-ES"/>
        </w:rPr>
        <w:t>e</w:t>
      </w:r>
      <w:r w:rsidRPr="003D5D3A">
        <w:rPr>
          <w:rFonts w:ascii="Avenir Next" w:eastAsia="IBM Plex Sans" w:hAnsi="Avenir Next" w:cs="IBM Plex Sans"/>
          <w:color w:val="000000"/>
          <w:sz w:val="20"/>
          <w:szCs w:val="20"/>
          <w:lang w:val="es-ES"/>
        </w:rPr>
        <w:t>l SOI no incorpora este aspecto de conformidad con las directrices y/o mejores prácticas pertinentes, y existen lagunas notables que deben abordarse para garantizar el cumplimiento total.</w:t>
      </w:r>
    </w:p>
    <w:p w14:paraId="79BCDF0A" w14:textId="32607B08" w:rsidR="003D5D3A" w:rsidRPr="004A7BC4" w:rsidRDefault="003D5D3A" w:rsidP="003D5D3A">
      <w:pPr>
        <w:pStyle w:val="ListParagraph"/>
        <w:numPr>
          <w:ilvl w:val="0"/>
          <w:numId w:val="16"/>
        </w:numPr>
        <w:spacing w:before="120" w:after="120" w:line="336" w:lineRule="auto"/>
        <w:rPr>
          <w:rFonts w:ascii="Avenir Next" w:eastAsia="IBM Plex Sans" w:hAnsi="Avenir Next" w:cs="IBM Plex Sans"/>
          <w:color w:val="000000"/>
          <w:sz w:val="20"/>
          <w:szCs w:val="20"/>
          <w:lang w:val="es-ES"/>
        </w:rPr>
      </w:pPr>
      <w:r w:rsidRPr="004A7BC4">
        <w:rPr>
          <w:rFonts w:ascii="Avenir Next" w:eastAsia="IBM Plex Sans" w:hAnsi="Avenir Next" w:cs="IBM Plex Sans"/>
          <w:color w:val="000000"/>
          <w:sz w:val="20"/>
          <w:szCs w:val="20"/>
          <w:u w:val="single"/>
          <w:lang w:val="es-ES"/>
        </w:rPr>
        <w:t>Hallazgos:</w:t>
      </w:r>
      <w:r w:rsidRPr="004A7BC4">
        <w:rPr>
          <w:rFonts w:ascii="Avenir Next" w:eastAsia="IBM Plex Sans" w:hAnsi="Avenir Next" w:cs="IBM Plex Sans"/>
          <w:color w:val="000000"/>
          <w:sz w:val="20"/>
          <w:szCs w:val="20"/>
          <w:lang w:val="es-ES"/>
        </w:rPr>
        <w:t xml:space="preserve"> para que los usuarios ofrezcan información relevante y/o aclaraciones </w:t>
      </w:r>
      <w:r w:rsidR="00A0544A" w:rsidRPr="004A7BC4">
        <w:rPr>
          <w:rFonts w:ascii="Avenir Next" w:eastAsia="IBM Plex Sans" w:hAnsi="Avenir Next" w:cs="IBM Plex Sans"/>
          <w:color w:val="000000"/>
          <w:sz w:val="20"/>
          <w:szCs w:val="20"/>
          <w:lang w:val="es-ES"/>
        </w:rPr>
        <w:t>con relación a</w:t>
      </w:r>
      <w:r w:rsidRPr="004A7BC4">
        <w:rPr>
          <w:rFonts w:ascii="Avenir Next" w:eastAsia="IBM Plex Sans" w:hAnsi="Avenir Next" w:cs="IBM Plex Sans"/>
          <w:color w:val="000000"/>
          <w:sz w:val="20"/>
          <w:szCs w:val="20"/>
          <w:lang w:val="es-ES"/>
        </w:rPr>
        <w:t xml:space="preserve"> su puntuación.</w:t>
      </w:r>
    </w:p>
    <w:p w14:paraId="5DC57951" w14:textId="77777777" w:rsidR="003D5D3A" w:rsidRPr="004A7BC4" w:rsidRDefault="003D5D3A" w:rsidP="003D5D3A">
      <w:pPr>
        <w:pStyle w:val="ListParagraph"/>
        <w:numPr>
          <w:ilvl w:val="0"/>
          <w:numId w:val="16"/>
        </w:numPr>
        <w:spacing w:before="120" w:after="120" w:line="336" w:lineRule="auto"/>
        <w:rPr>
          <w:rFonts w:ascii="Avenir Next" w:eastAsia="IBM Plex Sans" w:hAnsi="Avenir Next" w:cs="IBM Plex Sans"/>
          <w:color w:val="000000"/>
          <w:sz w:val="20"/>
          <w:szCs w:val="20"/>
          <w:lang w:val="es-ES"/>
        </w:rPr>
      </w:pPr>
      <w:r w:rsidRPr="004A7BC4">
        <w:rPr>
          <w:rFonts w:ascii="Avenir Next" w:eastAsia="IBM Plex Sans" w:hAnsi="Avenir Next" w:cs="IBM Plex Sans"/>
          <w:color w:val="000000"/>
          <w:sz w:val="20"/>
          <w:szCs w:val="20"/>
          <w:u w:val="single"/>
          <w:lang w:val="es-ES"/>
        </w:rPr>
        <w:t>Medios de verificación:</w:t>
      </w:r>
      <w:r w:rsidRPr="004A7BC4">
        <w:rPr>
          <w:rFonts w:ascii="Avenir Next" w:eastAsia="IBM Plex Sans" w:hAnsi="Avenir Next" w:cs="IBM Plex Sans"/>
          <w:color w:val="000000"/>
          <w:sz w:val="20"/>
          <w:szCs w:val="20"/>
          <w:lang w:val="es-ES"/>
        </w:rPr>
        <w:t xml:space="preserve"> los usuarios deberán proporcionar cualquier documentación utilizada para respaldar su puntuación, incluidos hipervínculos con información adicional.</w:t>
      </w:r>
    </w:p>
    <w:p w14:paraId="5E3BBCC8" w14:textId="77777777" w:rsidR="003D5D3A" w:rsidRPr="004A7BC4" w:rsidRDefault="003D5D3A" w:rsidP="003D5D3A">
      <w:pPr>
        <w:spacing w:line="336" w:lineRule="auto"/>
        <w:ind w:left="40"/>
        <w:rPr>
          <w:rFonts w:ascii="IBM Plex Sans" w:eastAsia="IBM Plex Sans" w:hAnsi="IBM Plex Sans" w:cs="IBM Plex Sans"/>
          <w:color w:val="000000"/>
          <w:lang w:val="es-ES"/>
        </w:rPr>
      </w:pPr>
    </w:p>
    <w:p w14:paraId="5BF619D0" w14:textId="77777777" w:rsidR="003D5D3A" w:rsidRDefault="003D5D3A">
      <w:pPr>
        <w:spacing w:before="120" w:after="120" w:line="336" w:lineRule="auto"/>
        <w:rPr>
          <w:rFonts w:ascii="IBM Plex Sans" w:eastAsia="IBM Plex Sans" w:hAnsi="IBM Plex Sans" w:cs="IBM Plex Sans"/>
          <w:color w:val="000000"/>
          <w:lang w:val="es-ES"/>
        </w:rPr>
      </w:pPr>
    </w:p>
    <w:p w14:paraId="12CDE1D2" w14:textId="77777777" w:rsidR="003D5D3A" w:rsidRDefault="003D5D3A">
      <w:pPr>
        <w:spacing w:before="120" w:after="120" w:line="336" w:lineRule="auto"/>
        <w:rPr>
          <w:rFonts w:ascii="IBM Plex Sans" w:eastAsia="IBM Plex Sans" w:hAnsi="IBM Plex Sans" w:cs="IBM Plex Sans"/>
          <w:color w:val="000000"/>
          <w:lang w:val="es-ES"/>
        </w:rPr>
      </w:pPr>
    </w:p>
    <w:p w14:paraId="2AB394DE" w14:textId="77777777" w:rsidR="003D5D3A" w:rsidRDefault="003D5D3A">
      <w:pPr>
        <w:spacing w:before="120" w:after="120" w:line="336" w:lineRule="auto"/>
        <w:rPr>
          <w:rFonts w:ascii="IBM Plex Sans" w:eastAsia="IBM Plex Sans" w:hAnsi="IBM Plex Sans" w:cs="IBM Plex Sans"/>
          <w:color w:val="000000"/>
          <w:lang w:val="es-ES"/>
        </w:rPr>
      </w:pPr>
    </w:p>
    <w:p w14:paraId="58A37D95" w14:textId="77777777" w:rsidR="003D5D3A" w:rsidRDefault="003D5D3A">
      <w:pPr>
        <w:spacing w:before="120" w:after="120" w:line="336" w:lineRule="auto"/>
        <w:rPr>
          <w:rFonts w:ascii="IBM Plex Sans" w:eastAsia="IBM Plex Sans" w:hAnsi="IBM Plex Sans" w:cs="IBM Plex Sans"/>
          <w:color w:val="000000"/>
          <w:lang w:val="es-ES"/>
        </w:rPr>
      </w:pPr>
    </w:p>
    <w:p w14:paraId="14E3C595" w14:textId="77777777" w:rsidR="003D5D3A" w:rsidRDefault="003D5D3A">
      <w:pPr>
        <w:spacing w:before="120" w:after="120" w:line="336" w:lineRule="auto"/>
        <w:rPr>
          <w:rFonts w:ascii="IBM Plex Sans" w:eastAsia="IBM Plex Sans" w:hAnsi="IBM Plex Sans" w:cs="IBM Plex Sans"/>
          <w:color w:val="000000"/>
          <w:lang w:val="es-ES"/>
        </w:rPr>
      </w:pPr>
    </w:p>
    <w:p w14:paraId="3395EAD6" w14:textId="77777777" w:rsidR="003D5D3A" w:rsidRDefault="003D5D3A">
      <w:pPr>
        <w:spacing w:before="120" w:after="120" w:line="336" w:lineRule="auto"/>
        <w:rPr>
          <w:rFonts w:ascii="IBM Plex Sans" w:eastAsia="IBM Plex Sans" w:hAnsi="IBM Plex Sans" w:cs="IBM Plex Sans"/>
          <w:color w:val="000000"/>
          <w:lang w:val="es-ES"/>
        </w:rPr>
      </w:pPr>
    </w:p>
    <w:p w14:paraId="67F8BF61" w14:textId="77777777" w:rsidR="003D5D3A" w:rsidRDefault="003D5D3A">
      <w:pPr>
        <w:spacing w:before="120" w:after="120" w:line="336" w:lineRule="auto"/>
        <w:rPr>
          <w:rFonts w:ascii="IBM Plex Sans" w:eastAsia="IBM Plex Sans" w:hAnsi="IBM Plex Sans" w:cs="IBM Plex Sans"/>
          <w:color w:val="000000"/>
          <w:lang w:val="es-ES"/>
        </w:rPr>
      </w:pPr>
    </w:p>
    <w:p w14:paraId="5214B4B6" w14:textId="77777777" w:rsidR="003D5D3A" w:rsidRDefault="003D5D3A">
      <w:pPr>
        <w:spacing w:before="120" w:after="120" w:line="336" w:lineRule="auto"/>
        <w:rPr>
          <w:rFonts w:ascii="IBM Plex Sans" w:eastAsia="IBM Plex Sans" w:hAnsi="IBM Plex Sans" w:cs="IBM Plex Sans"/>
          <w:color w:val="000000"/>
          <w:lang w:val="es-ES"/>
        </w:rPr>
      </w:pPr>
    </w:p>
    <w:p w14:paraId="7F659E41" w14:textId="77777777" w:rsidR="003D5D3A" w:rsidRDefault="003D5D3A">
      <w:pPr>
        <w:spacing w:before="120" w:after="120" w:line="336" w:lineRule="auto"/>
        <w:rPr>
          <w:rFonts w:ascii="IBM Plex Sans" w:eastAsia="IBM Plex Sans" w:hAnsi="IBM Plex Sans" w:cs="IBM Plex Sans"/>
          <w:color w:val="000000"/>
          <w:lang w:val="es-ES"/>
        </w:rPr>
        <w:sectPr w:rsidR="003D5D3A" w:rsidSect="00480509">
          <w:pgSz w:w="11910" w:h="16845"/>
          <w:pgMar w:top="1440" w:right="1440" w:bottom="1440" w:left="1440" w:header="720" w:footer="720" w:gutter="0"/>
          <w:cols w:space="720"/>
        </w:sectPr>
      </w:pPr>
    </w:p>
    <w:p w14:paraId="1FDE7F4E" w14:textId="3ABE7761" w:rsidR="00A355C3" w:rsidRPr="003D5D3A" w:rsidRDefault="00000000">
      <w:pPr>
        <w:spacing w:before="120" w:after="120" w:line="336" w:lineRule="auto"/>
        <w:rPr>
          <w:rFonts w:ascii="Bodoni 72 Book" w:hAnsi="Bodoni 72 Book"/>
          <w:lang w:val="es-ES"/>
        </w:rPr>
      </w:pPr>
      <w:r w:rsidRPr="003D5D3A">
        <w:rPr>
          <w:rFonts w:ascii="Bodoni 72 Book" w:eastAsia="IBM Plex Sans" w:hAnsi="Bodoni 72 Book" w:cs="IBM Plex Sans"/>
          <w:color w:val="000000"/>
          <w:lang w:val="es-ES"/>
        </w:rPr>
        <w:lastRenderedPageBreak/>
        <w:t xml:space="preserve">   </w:t>
      </w:r>
      <w:r w:rsidR="003D5D3A" w:rsidRPr="003D5D3A">
        <w:rPr>
          <w:rFonts w:ascii="Bodoni 72 Book" w:eastAsia="Montserrat" w:hAnsi="Bodoni 72 Book" w:cs="Montserrat"/>
          <w:color w:val="897B75"/>
          <w:sz w:val="64"/>
          <w:szCs w:val="64"/>
          <w:lang w:val="es-ES"/>
        </w:rPr>
        <w:t>Cuestionario</w:t>
      </w:r>
    </w:p>
    <w:p w14:paraId="35C6A5AF" w14:textId="77777777" w:rsidR="00A355C3" w:rsidRPr="003D5D3A" w:rsidRDefault="00A355C3">
      <w:pPr>
        <w:pBdr>
          <w:bottom w:val="single" w:sz="6" w:space="0" w:color="897C75"/>
        </w:pBdr>
        <w:spacing w:before="120" w:after="120" w:line="0" w:lineRule="auto"/>
        <w:rPr>
          <w:lang w:val="es-ES"/>
        </w:rPr>
      </w:pPr>
    </w:p>
    <w:tbl>
      <w:tblPr>
        <w:tblStyle w:val="TableGrid"/>
        <w:tblW w:w="14312" w:type="dxa"/>
        <w:tblBorders>
          <w:top w:val="single" w:sz="6" w:space="0" w:color="E0CCBF"/>
          <w:left w:val="single" w:sz="6" w:space="0" w:color="E0CCBF"/>
          <w:bottom w:val="single" w:sz="6" w:space="0" w:color="E0CCBF"/>
          <w:right w:val="single" w:sz="6" w:space="0" w:color="E0CCBF"/>
          <w:insideH w:val="single" w:sz="6" w:space="0" w:color="E0CCBF"/>
          <w:insideV w:val="single" w:sz="6" w:space="0" w:color="E0CCBF"/>
        </w:tblBorders>
        <w:tblLook w:val="04A0" w:firstRow="1" w:lastRow="0" w:firstColumn="1" w:lastColumn="0" w:noHBand="0" w:noVBand="1"/>
      </w:tblPr>
      <w:tblGrid>
        <w:gridCol w:w="4251"/>
        <w:gridCol w:w="2126"/>
        <w:gridCol w:w="4358"/>
        <w:gridCol w:w="3577"/>
      </w:tblGrid>
      <w:tr w:rsidR="003D5D3A" w:rsidRPr="003D5D3A" w14:paraId="41D28E6E" w14:textId="77777777" w:rsidTr="003D5D3A">
        <w:tc>
          <w:tcPr>
            <w:tcW w:w="14312" w:type="dxa"/>
            <w:gridSpan w:val="4"/>
            <w:shd w:val="clear" w:color="auto" w:fill="E0CCBF"/>
            <w:vAlign w:val="center"/>
          </w:tcPr>
          <w:p w14:paraId="351A022F" w14:textId="65C30052" w:rsidR="003D5D3A" w:rsidRPr="003D5D3A" w:rsidRDefault="003D5D3A" w:rsidP="003D5D3A">
            <w:pPr>
              <w:rPr>
                <w:rFonts w:ascii="Avenir Next Ultra Light" w:hAnsi="Avenir Next Ultra Light"/>
                <w:b/>
                <w:bCs/>
                <w:lang w:val="es-ES"/>
              </w:rPr>
            </w:pPr>
            <w:r w:rsidRPr="003D5D3A">
              <w:rPr>
                <w:rFonts w:ascii="Avenir Next Ultra Light" w:hAnsi="Avenir Next Ultra Light"/>
                <w:b/>
                <w:bCs/>
                <w:lang w:val="es-ES"/>
              </w:rPr>
              <w:t>Contexto nacional y visión general de REDD+</w:t>
            </w:r>
          </w:p>
        </w:tc>
      </w:tr>
      <w:tr w:rsidR="003D5D3A" w:rsidRPr="003D5D3A" w14:paraId="7C3F8B1D" w14:textId="77777777" w:rsidTr="003D5D3A">
        <w:tc>
          <w:tcPr>
            <w:tcW w:w="4251" w:type="dxa"/>
            <w:shd w:val="clear" w:color="auto" w:fill="FFF1DA"/>
            <w:vAlign w:val="center"/>
          </w:tcPr>
          <w:p w14:paraId="45AEE522" w14:textId="77777777" w:rsidR="003D5D3A" w:rsidRPr="003D5D3A" w:rsidRDefault="003D5D3A" w:rsidP="003D5D3A">
            <w:pPr>
              <w:jc w:val="center"/>
              <w:rPr>
                <w:rFonts w:ascii="Bodoni 72 Book" w:hAnsi="Bodoni 72 Book"/>
                <w:sz w:val="22"/>
                <w:szCs w:val="22"/>
                <w:lang w:val="es-ES"/>
              </w:rPr>
            </w:pPr>
            <w:r w:rsidRPr="003D5D3A">
              <w:rPr>
                <w:rFonts w:ascii="Bodoni 72 Book" w:hAnsi="Bodoni 72 Book"/>
                <w:sz w:val="22"/>
                <w:szCs w:val="22"/>
                <w:lang w:val="es-ES"/>
              </w:rPr>
              <w:t>Preguntas</w:t>
            </w:r>
          </w:p>
        </w:tc>
        <w:tc>
          <w:tcPr>
            <w:tcW w:w="2126" w:type="dxa"/>
            <w:shd w:val="clear" w:color="auto" w:fill="FFF1DA"/>
            <w:vAlign w:val="center"/>
          </w:tcPr>
          <w:p w14:paraId="619914A7" w14:textId="77777777" w:rsidR="003D5D3A" w:rsidRPr="003D5D3A" w:rsidRDefault="003D5D3A" w:rsidP="003D5D3A">
            <w:pPr>
              <w:jc w:val="center"/>
              <w:rPr>
                <w:rFonts w:ascii="Bodoni 72 Book" w:hAnsi="Bodoni 72 Book"/>
                <w:sz w:val="22"/>
                <w:szCs w:val="22"/>
                <w:lang w:val="es-ES"/>
              </w:rPr>
            </w:pPr>
            <w:r w:rsidRPr="003D5D3A">
              <w:rPr>
                <w:rFonts w:ascii="Bodoni 72 Book" w:hAnsi="Bodoni 72 Book"/>
                <w:sz w:val="22"/>
                <w:szCs w:val="22"/>
                <w:lang w:val="es-ES"/>
              </w:rPr>
              <w:t>Puntuación</w:t>
            </w:r>
          </w:p>
          <w:p w14:paraId="48BA3990" w14:textId="77777777" w:rsidR="003D5D3A" w:rsidRPr="003D5D3A" w:rsidRDefault="003D5D3A" w:rsidP="003D5D3A">
            <w:pPr>
              <w:jc w:val="center"/>
              <w:rPr>
                <w:rFonts w:ascii="Bodoni 72 Book" w:hAnsi="Bodoni 72 Book"/>
                <w:sz w:val="22"/>
                <w:szCs w:val="22"/>
                <w:lang w:val="es-ES"/>
              </w:rPr>
            </w:pPr>
            <w:r w:rsidRPr="003D5D3A">
              <w:rPr>
                <w:rFonts w:ascii="Bodoni 72 Book" w:hAnsi="Bodoni 72 Book"/>
                <w:sz w:val="22"/>
                <w:szCs w:val="22"/>
                <w:lang w:val="es-ES"/>
              </w:rPr>
              <w:t>(Si/No/Parcialmente)</w:t>
            </w:r>
          </w:p>
        </w:tc>
        <w:tc>
          <w:tcPr>
            <w:tcW w:w="4358" w:type="dxa"/>
            <w:shd w:val="clear" w:color="auto" w:fill="FFF1DA"/>
            <w:vAlign w:val="center"/>
          </w:tcPr>
          <w:p w14:paraId="2B3F1C8F" w14:textId="77777777" w:rsidR="003D5D3A" w:rsidRPr="003D5D3A" w:rsidRDefault="003D5D3A" w:rsidP="003D5D3A">
            <w:pPr>
              <w:jc w:val="center"/>
              <w:rPr>
                <w:rFonts w:ascii="Bodoni 72 Book" w:hAnsi="Bodoni 72 Book"/>
                <w:sz w:val="22"/>
                <w:szCs w:val="22"/>
                <w:lang w:val="es-ES"/>
              </w:rPr>
            </w:pPr>
            <w:r w:rsidRPr="003D5D3A">
              <w:rPr>
                <w:rFonts w:ascii="Bodoni 72 Book" w:hAnsi="Bodoni 72 Book"/>
                <w:sz w:val="22"/>
                <w:szCs w:val="22"/>
                <w:lang w:val="es-ES"/>
              </w:rPr>
              <w:t>Comentarios</w:t>
            </w:r>
          </w:p>
        </w:tc>
        <w:tc>
          <w:tcPr>
            <w:tcW w:w="3577" w:type="dxa"/>
            <w:shd w:val="clear" w:color="auto" w:fill="FFF1DA"/>
            <w:vAlign w:val="center"/>
          </w:tcPr>
          <w:p w14:paraId="2F376C39" w14:textId="77777777" w:rsidR="003D5D3A" w:rsidRPr="003D5D3A" w:rsidRDefault="003D5D3A" w:rsidP="003D5D3A">
            <w:pPr>
              <w:jc w:val="center"/>
              <w:rPr>
                <w:rFonts w:ascii="Bodoni 72 Book" w:hAnsi="Bodoni 72 Book"/>
                <w:sz w:val="22"/>
                <w:szCs w:val="22"/>
                <w:lang w:val="es-ES"/>
              </w:rPr>
            </w:pPr>
            <w:r w:rsidRPr="003D5D3A">
              <w:rPr>
                <w:rFonts w:ascii="Bodoni 72 Book" w:hAnsi="Bodoni 72 Book"/>
                <w:sz w:val="22"/>
                <w:szCs w:val="22"/>
                <w:lang w:val="es-ES"/>
              </w:rPr>
              <w:t>Medios de verificación</w:t>
            </w:r>
          </w:p>
        </w:tc>
      </w:tr>
      <w:tr w:rsidR="003D5D3A" w:rsidRPr="003D5D3A" w14:paraId="7808C9BD" w14:textId="77777777" w:rsidTr="003D5D3A">
        <w:tc>
          <w:tcPr>
            <w:tcW w:w="4251" w:type="dxa"/>
          </w:tcPr>
          <w:p w14:paraId="2CC8D185" w14:textId="77777777" w:rsidR="003D5D3A" w:rsidRPr="003D5D3A" w:rsidRDefault="003D5D3A" w:rsidP="003D5D3A">
            <w:pPr>
              <w:pStyle w:val="ListParagraph"/>
              <w:numPr>
                <w:ilvl w:val="0"/>
                <w:numId w:val="17"/>
              </w:numPr>
              <w:rPr>
                <w:rFonts w:ascii="Avenir Next" w:hAnsi="Avenir Next"/>
                <w:b/>
                <w:bCs/>
                <w:sz w:val="20"/>
                <w:szCs w:val="20"/>
                <w:lang w:val="es-ES"/>
              </w:rPr>
            </w:pPr>
            <w:r w:rsidRPr="003D5D3A">
              <w:rPr>
                <w:rFonts w:ascii="Avenir Next" w:hAnsi="Avenir Next"/>
                <w:sz w:val="20"/>
                <w:szCs w:val="20"/>
                <w:lang w:val="es-ES"/>
              </w:rPr>
              <w:t>¿El SOI proporciona información sobre el alcance, escala y etapa de diseño e implementación de las acciones REDD+ que están sujetas a este período de reporte?</w:t>
            </w:r>
          </w:p>
          <w:p w14:paraId="2F1AAA11" w14:textId="77777777" w:rsidR="003D5D3A" w:rsidRPr="003D5D3A" w:rsidRDefault="003D5D3A" w:rsidP="00CE0AF6">
            <w:pPr>
              <w:pStyle w:val="ListParagraph"/>
              <w:rPr>
                <w:rFonts w:ascii="Avenir Next" w:hAnsi="Avenir Next"/>
                <w:b/>
                <w:bCs/>
                <w:sz w:val="20"/>
                <w:szCs w:val="20"/>
                <w:lang w:val="es-ES"/>
              </w:rPr>
            </w:pPr>
          </w:p>
        </w:tc>
        <w:tc>
          <w:tcPr>
            <w:tcW w:w="2126" w:type="dxa"/>
          </w:tcPr>
          <w:p w14:paraId="2CFB2458" w14:textId="77777777" w:rsidR="003D5D3A" w:rsidRPr="003D5D3A" w:rsidRDefault="003D5D3A" w:rsidP="00CE0AF6">
            <w:pPr>
              <w:jc w:val="center"/>
              <w:rPr>
                <w:rFonts w:ascii="Avenir Next" w:hAnsi="Avenir Next"/>
                <w:b/>
                <w:bCs/>
                <w:sz w:val="20"/>
                <w:szCs w:val="20"/>
                <w:lang w:val="es-ES"/>
              </w:rPr>
            </w:pPr>
          </w:p>
        </w:tc>
        <w:tc>
          <w:tcPr>
            <w:tcW w:w="4358" w:type="dxa"/>
          </w:tcPr>
          <w:p w14:paraId="39AE1976" w14:textId="77777777" w:rsidR="003D5D3A" w:rsidRPr="003D5D3A" w:rsidRDefault="003D5D3A" w:rsidP="00CE0AF6">
            <w:pPr>
              <w:jc w:val="center"/>
              <w:rPr>
                <w:rFonts w:ascii="Avenir Next" w:hAnsi="Avenir Next"/>
                <w:b/>
                <w:bCs/>
                <w:sz w:val="20"/>
                <w:szCs w:val="20"/>
                <w:lang w:val="es-ES"/>
              </w:rPr>
            </w:pPr>
          </w:p>
        </w:tc>
        <w:tc>
          <w:tcPr>
            <w:tcW w:w="3577" w:type="dxa"/>
          </w:tcPr>
          <w:p w14:paraId="6713A75F" w14:textId="77777777" w:rsidR="003D5D3A" w:rsidRPr="003D5D3A" w:rsidRDefault="003D5D3A" w:rsidP="00CE0AF6">
            <w:pPr>
              <w:jc w:val="center"/>
              <w:rPr>
                <w:rFonts w:ascii="Avenir Next" w:hAnsi="Avenir Next"/>
                <w:b/>
                <w:bCs/>
                <w:sz w:val="20"/>
                <w:szCs w:val="20"/>
                <w:lang w:val="es-ES"/>
              </w:rPr>
            </w:pPr>
          </w:p>
        </w:tc>
      </w:tr>
      <w:tr w:rsidR="003D5D3A" w:rsidRPr="003D5D3A" w14:paraId="069D1B56" w14:textId="77777777" w:rsidTr="003D5D3A">
        <w:tc>
          <w:tcPr>
            <w:tcW w:w="4251" w:type="dxa"/>
          </w:tcPr>
          <w:p w14:paraId="04305CE3" w14:textId="77777777" w:rsidR="003D5D3A" w:rsidRPr="003D5D3A" w:rsidRDefault="003D5D3A" w:rsidP="003D5D3A">
            <w:pPr>
              <w:pStyle w:val="ListParagraph"/>
              <w:numPr>
                <w:ilvl w:val="0"/>
                <w:numId w:val="17"/>
              </w:numPr>
              <w:rPr>
                <w:rFonts w:ascii="Avenir Next" w:hAnsi="Avenir Next"/>
                <w:sz w:val="20"/>
                <w:szCs w:val="20"/>
                <w:lang w:val="es-ES"/>
              </w:rPr>
            </w:pPr>
            <w:r w:rsidRPr="003D5D3A">
              <w:rPr>
                <w:rFonts w:ascii="Avenir Next" w:hAnsi="Avenir Next"/>
                <w:sz w:val="20"/>
                <w:szCs w:val="20"/>
                <w:lang w:val="es-ES"/>
              </w:rPr>
              <w:t>¿El SOI proporciona información sobre los acuerdos y procesos generales de gobernanza vigentes para responder a los requisitos de salvaguardas para REDD+ (por ejemplo, el SIS)?</w:t>
            </w:r>
          </w:p>
          <w:p w14:paraId="4E68224B" w14:textId="77777777" w:rsidR="003D5D3A" w:rsidRPr="003D5D3A" w:rsidRDefault="003D5D3A" w:rsidP="00CE0AF6">
            <w:pPr>
              <w:pStyle w:val="ListParagraph"/>
              <w:rPr>
                <w:rFonts w:ascii="Avenir Next" w:hAnsi="Avenir Next"/>
                <w:sz w:val="20"/>
                <w:szCs w:val="20"/>
                <w:lang w:val="es-ES"/>
              </w:rPr>
            </w:pPr>
          </w:p>
        </w:tc>
        <w:tc>
          <w:tcPr>
            <w:tcW w:w="2126" w:type="dxa"/>
          </w:tcPr>
          <w:p w14:paraId="0BF86912" w14:textId="77777777" w:rsidR="003D5D3A" w:rsidRPr="003D5D3A" w:rsidRDefault="003D5D3A" w:rsidP="00CE0AF6">
            <w:pPr>
              <w:jc w:val="center"/>
              <w:rPr>
                <w:rFonts w:ascii="Avenir Next" w:hAnsi="Avenir Next"/>
                <w:b/>
                <w:bCs/>
                <w:sz w:val="20"/>
                <w:szCs w:val="20"/>
                <w:lang w:val="es-ES"/>
              </w:rPr>
            </w:pPr>
          </w:p>
        </w:tc>
        <w:tc>
          <w:tcPr>
            <w:tcW w:w="4358" w:type="dxa"/>
          </w:tcPr>
          <w:p w14:paraId="53E39880" w14:textId="77777777" w:rsidR="003D5D3A" w:rsidRPr="003D5D3A" w:rsidRDefault="003D5D3A" w:rsidP="00CE0AF6">
            <w:pPr>
              <w:jc w:val="center"/>
              <w:rPr>
                <w:rFonts w:ascii="Avenir Next" w:hAnsi="Avenir Next"/>
                <w:b/>
                <w:bCs/>
                <w:sz w:val="20"/>
                <w:szCs w:val="20"/>
                <w:lang w:val="es-ES"/>
              </w:rPr>
            </w:pPr>
          </w:p>
        </w:tc>
        <w:tc>
          <w:tcPr>
            <w:tcW w:w="3577" w:type="dxa"/>
          </w:tcPr>
          <w:p w14:paraId="5D5E52D8" w14:textId="77777777" w:rsidR="003D5D3A" w:rsidRPr="003D5D3A" w:rsidRDefault="003D5D3A" w:rsidP="00CE0AF6">
            <w:pPr>
              <w:jc w:val="center"/>
              <w:rPr>
                <w:rFonts w:ascii="Avenir Next" w:hAnsi="Avenir Next"/>
                <w:b/>
                <w:bCs/>
                <w:sz w:val="20"/>
                <w:szCs w:val="20"/>
                <w:lang w:val="es-ES"/>
              </w:rPr>
            </w:pPr>
          </w:p>
        </w:tc>
      </w:tr>
      <w:tr w:rsidR="003D5D3A" w:rsidRPr="003D5D3A" w14:paraId="31A9F771" w14:textId="77777777" w:rsidTr="003D5D3A">
        <w:tc>
          <w:tcPr>
            <w:tcW w:w="14312" w:type="dxa"/>
            <w:gridSpan w:val="4"/>
            <w:shd w:val="clear" w:color="auto" w:fill="E0CCBF"/>
            <w:vAlign w:val="center"/>
          </w:tcPr>
          <w:p w14:paraId="09B9A2DF" w14:textId="742D136B" w:rsidR="003D5D3A" w:rsidRPr="003D5D3A" w:rsidRDefault="003D5D3A" w:rsidP="003D5D3A">
            <w:pPr>
              <w:rPr>
                <w:rFonts w:ascii="Avenir Next Ultra Light" w:hAnsi="Avenir Next Ultra Light"/>
                <w:b/>
                <w:bCs/>
                <w:lang w:val="es-ES"/>
              </w:rPr>
            </w:pPr>
            <w:r w:rsidRPr="003D5D3A">
              <w:rPr>
                <w:rFonts w:ascii="Avenir Next Ultra Light" w:hAnsi="Avenir Next Ultra Light"/>
                <w:b/>
                <w:bCs/>
                <w:lang w:val="es-ES"/>
              </w:rPr>
              <w:t>Descripción de cada salvaguarda</w:t>
            </w:r>
          </w:p>
        </w:tc>
      </w:tr>
      <w:tr w:rsidR="003D5D3A" w:rsidRPr="003D5D3A" w14:paraId="19205A4B" w14:textId="77777777" w:rsidTr="003D5D3A">
        <w:tc>
          <w:tcPr>
            <w:tcW w:w="4251" w:type="dxa"/>
            <w:shd w:val="clear" w:color="auto" w:fill="FFF1DA"/>
            <w:vAlign w:val="center"/>
          </w:tcPr>
          <w:p w14:paraId="608666E4" w14:textId="77777777" w:rsidR="003D5D3A" w:rsidRPr="003D5D3A" w:rsidRDefault="003D5D3A" w:rsidP="003D5D3A">
            <w:pPr>
              <w:jc w:val="center"/>
              <w:rPr>
                <w:rFonts w:ascii="Bodoni 72 Book" w:hAnsi="Bodoni 72 Book"/>
                <w:sz w:val="22"/>
                <w:szCs w:val="22"/>
                <w:lang w:val="es-ES"/>
              </w:rPr>
            </w:pPr>
            <w:r w:rsidRPr="003D5D3A">
              <w:rPr>
                <w:rFonts w:ascii="Bodoni 72 Book" w:hAnsi="Bodoni 72 Book"/>
                <w:sz w:val="22"/>
                <w:szCs w:val="22"/>
                <w:lang w:val="es-ES"/>
              </w:rPr>
              <w:t>Preguntas</w:t>
            </w:r>
          </w:p>
        </w:tc>
        <w:tc>
          <w:tcPr>
            <w:tcW w:w="2126" w:type="dxa"/>
            <w:shd w:val="clear" w:color="auto" w:fill="FFF1DA"/>
            <w:vAlign w:val="center"/>
          </w:tcPr>
          <w:p w14:paraId="1F26258D" w14:textId="77777777" w:rsidR="003D5D3A" w:rsidRPr="003D5D3A" w:rsidRDefault="003D5D3A" w:rsidP="003D5D3A">
            <w:pPr>
              <w:jc w:val="center"/>
              <w:rPr>
                <w:rFonts w:ascii="Bodoni 72 Book" w:hAnsi="Bodoni 72 Book"/>
                <w:sz w:val="22"/>
                <w:szCs w:val="22"/>
                <w:lang w:val="es-ES"/>
              </w:rPr>
            </w:pPr>
            <w:r w:rsidRPr="003D5D3A">
              <w:rPr>
                <w:rFonts w:ascii="Bodoni 72 Book" w:hAnsi="Bodoni 72 Book"/>
                <w:sz w:val="22"/>
                <w:szCs w:val="22"/>
                <w:lang w:val="es-ES"/>
              </w:rPr>
              <w:t>Puntuación</w:t>
            </w:r>
          </w:p>
          <w:p w14:paraId="157B5B35" w14:textId="77777777" w:rsidR="003D5D3A" w:rsidRPr="003D5D3A" w:rsidRDefault="003D5D3A" w:rsidP="003D5D3A">
            <w:pPr>
              <w:jc w:val="center"/>
              <w:rPr>
                <w:rFonts w:ascii="Bodoni 72 Book" w:hAnsi="Bodoni 72 Book"/>
                <w:sz w:val="22"/>
                <w:szCs w:val="22"/>
                <w:lang w:val="es-ES"/>
              </w:rPr>
            </w:pPr>
            <w:r w:rsidRPr="003D5D3A">
              <w:rPr>
                <w:rFonts w:ascii="Bodoni 72 Book" w:hAnsi="Bodoni 72 Book"/>
                <w:sz w:val="22"/>
                <w:szCs w:val="22"/>
                <w:lang w:val="es-ES"/>
              </w:rPr>
              <w:t>(Si/No/Parcialmente)</w:t>
            </w:r>
          </w:p>
        </w:tc>
        <w:tc>
          <w:tcPr>
            <w:tcW w:w="4358" w:type="dxa"/>
            <w:shd w:val="clear" w:color="auto" w:fill="FFF1DA"/>
            <w:vAlign w:val="center"/>
          </w:tcPr>
          <w:p w14:paraId="3866B095" w14:textId="77777777" w:rsidR="003D5D3A" w:rsidRPr="003D5D3A" w:rsidRDefault="003D5D3A" w:rsidP="003D5D3A">
            <w:pPr>
              <w:jc w:val="center"/>
              <w:rPr>
                <w:rFonts w:ascii="Bodoni 72 Book" w:hAnsi="Bodoni 72 Book"/>
                <w:sz w:val="22"/>
                <w:szCs w:val="22"/>
                <w:lang w:val="es-ES"/>
              </w:rPr>
            </w:pPr>
            <w:r w:rsidRPr="003D5D3A">
              <w:rPr>
                <w:rFonts w:ascii="Bodoni 72 Book" w:hAnsi="Bodoni 72 Book"/>
                <w:sz w:val="22"/>
                <w:szCs w:val="22"/>
                <w:lang w:val="es-ES"/>
              </w:rPr>
              <w:t>Comentarios</w:t>
            </w:r>
          </w:p>
        </w:tc>
        <w:tc>
          <w:tcPr>
            <w:tcW w:w="3577" w:type="dxa"/>
            <w:shd w:val="clear" w:color="auto" w:fill="FFF1DA"/>
            <w:vAlign w:val="center"/>
          </w:tcPr>
          <w:p w14:paraId="56912409" w14:textId="77777777" w:rsidR="003D5D3A" w:rsidRPr="003D5D3A" w:rsidRDefault="003D5D3A" w:rsidP="003D5D3A">
            <w:pPr>
              <w:jc w:val="center"/>
              <w:rPr>
                <w:rFonts w:ascii="Bodoni 72 Book" w:hAnsi="Bodoni 72 Book"/>
                <w:sz w:val="22"/>
                <w:szCs w:val="22"/>
                <w:lang w:val="es-ES"/>
              </w:rPr>
            </w:pPr>
            <w:r w:rsidRPr="003D5D3A">
              <w:rPr>
                <w:rFonts w:ascii="Bodoni 72 Book" w:hAnsi="Bodoni 72 Book"/>
                <w:sz w:val="22"/>
                <w:szCs w:val="22"/>
                <w:lang w:val="es-ES"/>
              </w:rPr>
              <w:t>Medios de verificación</w:t>
            </w:r>
          </w:p>
        </w:tc>
      </w:tr>
      <w:tr w:rsidR="003D5D3A" w:rsidRPr="003D5D3A" w14:paraId="300CE186" w14:textId="77777777" w:rsidTr="003D5D3A">
        <w:tc>
          <w:tcPr>
            <w:tcW w:w="4251" w:type="dxa"/>
          </w:tcPr>
          <w:p w14:paraId="0934ADBD" w14:textId="77777777" w:rsidR="003D5D3A" w:rsidRPr="003D5D3A" w:rsidRDefault="003D5D3A" w:rsidP="003D5D3A">
            <w:pPr>
              <w:pStyle w:val="ListParagraph"/>
              <w:numPr>
                <w:ilvl w:val="0"/>
                <w:numId w:val="17"/>
              </w:numPr>
              <w:rPr>
                <w:rFonts w:ascii="Avenir Next" w:hAnsi="Avenir Next"/>
                <w:sz w:val="20"/>
                <w:szCs w:val="20"/>
                <w:lang w:val="es-ES"/>
              </w:rPr>
            </w:pPr>
            <w:r w:rsidRPr="003D5D3A">
              <w:rPr>
                <w:rFonts w:ascii="Avenir Next" w:hAnsi="Avenir Next"/>
                <w:sz w:val="20"/>
                <w:szCs w:val="20"/>
                <w:lang w:val="es-ES"/>
              </w:rPr>
              <w:t>¿El SOI incluye una descripción de cada salvaguarda de acuerdo con las circunstancias nacionales?</w:t>
            </w:r>
          </w:p>
          <w:p w14:paraId="44F9F1DE" w14:textId="77777777" w:rsidR="003D5D3A" w:rsidRPr="003D5D3A" w:rsidDel="00F57F2E" w:rsidRDefault="003D5D3A" w:rsidP="00CE0AF6">
            <w:pPr>
              <w:pStyle w:val="ListParagraph"/>
              <w:rPr>
                <w:rFonts w:ascii="Avenir Next" w:hAnsi="Avenir Next"/>
                <w:sz w:val="20"/>
                <w:szCs w:val="20"/>
                <w:lang w:val="es-ES"/>
              </w:rPr>
            </w:pPr>
          </w:p>
        </w:tc>
        <w:tc>
          <w:tcPr>
            <w:tcW w:w="2126" w:type="dxa"/>
          </w:tcPr>
          <w:p w14:paraId="43C0B30E" w14:textId="77777777" w:rsidR="003D5D3A" w:rsidRPr="003D5D3A" w:rsidRDefault="003D5D3A" w:rsidP="00CE0AF6">
            <w:pPr>
              <w:rPr>
                <w:rFonts w:ascii="Avenir Next" w:hAnsi="Avenir Next"/>
                <w:sz w:val="20"/>
                <w:szCs w:val="20"/>
                <w:lang w:val="es-ES"/>
              </w:rPr>
            </w:pPr>
          </w:p>
        </w:tc>
        <w:tc>
          <w:tcPr>
            <w:tcW w:w="4358" w:type="dxa"/>
          </w:tcPr>
          <w:p w14:paraId="52A1FF05" w14:textId="77777777" w:rsidR="003D5D3A" w:rsidRPr="003D5D3A" w:rsidRDefault="003D5D3A" w:rsidP="00CE0AF6">
            <w:pPr>
              <w:rPr>
                <w:rFonts w:ascii="Avenir Next" w:hAnsi="Avenir Next"/>
                <w:sz w:val="20"/>
                <w:szCs w:val="20"/>
                <w:lang w:val="es-ES"/>
              </w:rPr>
            </w:pPr>
          </w:p>
        </w:tc>
        <w:tc>
          <w:tcPr>
            <w:tcW w:w="3577" w:type="dxa"/>
          </w:tcPr>
          <w:p w14:paraId="2BC141FA" w14:textId="77777777" w:rsidR="003D5D3A" w:rsidRPr="003D5D3A" w:rsidRDefault="003D5D3A" w:rsidP="00CE0AF6">
            <w:pPr>
              <w:rPr>
                <w:rFonts w:ascii="Avenir Next" w:hAnsi="Avenir Next"/>
                <w:sz w:val="20"/>
                <w:szCs w:val="20"/>
                <w:lang w:val="es-ES"/>
              </w:rPr>
            </w:pPr>
          </w:p>
        </w:tc>
      </w:tr>
      <w:tr w:rsidR="003D5D3A" w:rsidRPr="003D5D3A" w14:paraId="37D88D4D" w14:textId="77777777" w:rsidTr="003D5D3A">
        <w:tc>
          <w:tcPr>
            <w:tcW w:w="4251" w:type="dxa"/>
          </w:tcPr>
          <w:p w14:paraId="79349304" w14:textId="77777777" w:rsidR="003D5D3A" w:rsidRPr="003D5D3A" w:rsidRDefault="003D5D3A" w:rsidP="003D5D3A">
            <w:pPr>
              <w:pStyle w:val="ListParagraph"/>
              <w:numPr>
                <w:ilvl w:val="0"/>
                <w:numId w:val="17"/>
              </w:numPr>
              <w:rPr>
                <w:rFonts w:ascii="Avenir Next" w:hAnsi="Avenir Next"/>
                <w:sz w:val="20"/>
                <w:szCs w:val="20"/>
                <w:lang w:val="es-ES"/>
              </w:rPr>
            </w:pPr>
            <w:r w:rsidRPr="003D5D3A">
              <w:rPr>
                <w:rFonts w:ascii="Avenir Next" w:hAnsi="Avenir Next"/>
                <w:sz w:val="20"/>
                <w:szCs w:val="20"/>
                <w:lang w:val="es-ES"/>
              </w:rPr>
              <w:t xml:space="preserve">¿El SOI proporciona información sobre el proceso de participación de las partes interesadas realizado para adoptar la descripción de cada </w:t>
            </w:r>
            <w:r w:rsidRPr="003D5D3A">
              <w:rPr>
                <w:rFonts w:ascii="Avenir Next" w:hAnsi="Avenir Next"/>
                <w:sz w:val="20"/>
                <w:szCs w:val="20"/>
                <w:lang w:val="es-ES"/>
              </w:rPr>
              <w:lastRenderedPageBreak/>
              <w:t>salvaguarda?</w:t>
            </w:r>
          </w:p>
          <w:p w14:paraId="70F8E946" w14:textId="77777777" w:rsidR="003D5D3A" w:rsidRPr="003D5D3A" w:rsidRDefault="003D5D3A" w:rsidP="00CE0AF6">
            <w:pPr>
              <w:rPr>
                <w:rFonts w:ascii="Avenir Next" w:hAnsi="Avenir Next"/>
                <w:sz w:val="20"/>
                <w:szCs w:val="20"/>
                <w:lang w:val="es-ES"/>
              </w:rPr>
            </w:pPr>
          </w:p>
          <w:p w14:paraId="181A2721" w14:textId="77777777" w:rsidR="003D5D3A" w:rsidRPr="003D5D3A" w:rsidRDefault="003D5D3A" w:rsidP="00CE0AF6">
            <w:pPr>
              <w:rPr>
                <w:rFonts w:ascii="Avenir Next" w:hAnsi="Avenir Next"/>
                <w:sz w:val="20"/>
                <w:szCs w:val="20"/>
                <w:lang w:val="es-ES"/>
              </w:rPr>
            </w:pPr>
          </w:p>
        </w:tc>
        <w:tc>
          <w:tcPr>
            <w:tcW w:w="2126" w:type="dxa"/>
          </w:tcPr>
          <w:p w14:paraId="3E5BEAD7" w14:textId="77777777" w:rsidR="003D5D3A" w:rsidRPr="003D5D3A" w:rsidRDefault="003D5D3A" w:rsidP="00CE0AF6">
            <w:pPr>
              <w:rPr>
                <w:rFonts w:ascii="Avenir Next" w:hAnsi="Avenir Next"/>
                <w:sz w:val="20"/>
                <w:szCs w:val="20"/>
                <w:lang w:val="es-ES"/>
              </w:rPr>
            </w:pPr>
          </w:p>
        </w:tc>
        <w:tc>
          <w:tcPr>
            <w:tcW w:w="4358" w:type="dxa"/>
          </w:tcPr>
          <w:p w14:paraId="674D0961" w14:textId="77777777" w:rsidR="003D5D3A" w:rsidRPr="003D5D3A" w:rsidRDefault="003D5D3A" w:rsidP="00CE0AF6">
            <w:pPr>
              <w:rPr>
                <w:rFonts w:ascii="Avenir Next" w:hAnsi="Avenir Next"/>
                <w:sz w:val="20"/>
                <w:szCs w:val="20"/>
                <w:lang w:val="es-ES"/>
              </w:rPr>
            </w:pPr>
          </w:p>
        </w:tc>
        <w:tc>
          <w:tcPr>
            <w:tcW w:w="3577" w:type="dxa"/>
          </w:tcPr>
          <w:p w14:paraId="116DAED3" w14:textId="77777777" w:rsidR="003D5D3A" w:rsidRPr="003D5D3A" w:rsidRDefault="003D5D3A" w:rsidP="00CE0AF6">
            <w:pPr>
              <w:rPr>
                <w:rFonts w:ascii="Avenir Next" w:hAnsi="Avenir Next"/>
                <w:sz w:val="20"/>
                <w:szCs w:val="20"/>
                <w:lang w:val="es-ES"/>
              </w:rPr>
            </w:pPr>
          </w:p>
        </w:tc>
      </w:tr>
      <w:tr w:rsidR="003D5D3A" w:rsidRPr="003D5D3A" w14:paraId="3A864A3C" w14:textId="77777777" w:rsidTr="003D5D3A">
        <w:tc>
          <w:tcPr>
            <w:tcW w:w="14312" w:type="dxa"/>
            <w:gridSpan w:val="4"/>
            <w:shd w:val="clear" w:color="auto" w:fill="E0CCBF"/>
            <w:vAlign w:val="center"/>
          </w:tcPr>
          <w:p w14:paraId="79F1563D" w14:textId="2F89B45D" w:rsidR="003D5D3A" w:rsidRPr="003D5D3A" w:rsidRDefault="003D5D3A" w:rsidP="003D5D3A">
            <w:pPr>
              <w:rPr>
                <w:rFonts w:ascii="Avenir Next Ultra Light" w:hAnsi="Avenir Next Ultra Light"/>
                <w:b/>
                <w:bCs/>
                <w:lang w:val="es-ES"/>
              </w:rPr>
            </w:pPr>
            <w:r w:rsidRPr="003D5D3A">
              <w:rPr>
                <w:rFonts w:ascii="Avenir Next Ultra Light" w:hAnsi="Avenir Next Ultra Light"/>
                <w:b/>
                <w:bCs/>
                <w:lang w:val="es-ES"/>
              </w:rPr>
              <w:t>Conformidad con las salvaguardas REDD+</w:t>
            </w:r>
          </w:p>
        </w:tc>
      </w:tr>
      <w:tr w:rsidR="003D5D3A" w:rsidRPr="003D5D3A" w14:paraId="2FC22E64" w14:textId="77777777" w:rsidTr="003D5D3A">
        <w:tc>
          <w:tcPr>
            <w:tcW w:w="4251" w:type="dxa"/>
            <w:shd w:val="clear" w:color="auto" w:fill="FFF1DA"/>
            <w:vAlign w:val="center"/>
          </w:tcPr>
          <w:p w14:paraId="4CDAC52D" w14:textId="77777777" w:rsidR="003D5D3A" w:rsidRPr="003D5D3A" w:rsidRDefault="003D5D3A" w:rsidP="003D5D3A">
            <w:pPr>
              <w:jc w:val="center"/>
              <w:rPr>
                <w:rFonts w:ascii="Bodoni 72 Book" w:hAnsi="Bodoni 72 Book"/>
                <w:sz w:val="22"/>
                <w:szCs w:val="22"/>
                <w:lang w:val="es-ES"/>
              </w:rPr>
            </w:pPr>
            <w:r w:rsidRPr="003D5D3A">
              <w:rPr>
                <w:rFonts w:ascii="Bodoni 72 Book" w:hAnsi="Bodoni 72 Book"/>
                <w:sz w:val="22"/>
                <w:szCs w:val="22"/>
                <w:lang w:val="es-ES"/>
              </w:rPr>
              <w:t>Preguntas</w:t>
            </w:r>
          </w:p>
        </w:tc>
        <w:tc>
          <w:tcPr>
            <w:tcW w:w="2126" w:type="dxa"/>
            <w:shd w:val="clear" w:color="auto" w:fill="FFF1DA"/>
            <w:vAlign w:val="center"/>
          </w:tcPr>
          <w:p w14:paraId="7FCB1FF8" w14:textId="77777777" w:rsidR="003D5D3A" w:rsidRPr="003D5D3A" w:rsidRDefault="003D5D3A" w:rsidP="003D5D3A">
            <w:pPr>
              <w:jc w:val="center"/>
              <w:rPr>
                <w:rFonts w:ascii="Bodoni 72 Book" w:hAnsi="Bodoni 72 Book"/>
                <w:sz w:val="22"/>
                <w:szCs w:val="22"/>
                <w:lang w:val="es-ES"/>
              </w:rPr>
            </w:pPr>
            <w:r w:rsidRPr="003D5D3A">
              <w:rPr>
                <w:rFonts w:ascii="Bodoni 72 Book" w:hAnsi="Bodoni 72 Book"/>
                <w:sz w:val="22"/>
                <w:szCs w:val="22"/>
                <w:lang w:val="es-ES"/>
              </w:rPr>
              <w:t>Puntuación</w:t>
            </w:r>
          </w:p>
          <w:p w14:paraId="2E965805" w14:textId="77777777" w:rsidR="003D5D3A" w:rsidRPr="003D5D3A" w:rsidRDefault="003D5D3A" w:rsidP="003D5D3A">
            <w:pPr>
              <w:jc w:val="center"/>
              <w:rPr>
                <w:rFonts w:ascii="Bodoni 72 Book" w:hAnsi="Bodoni 72 Book"/>
                <w:sz w:val="22"/>
                <w:szCs w:val="22"/>
                <w:lang w:val="es-ES"/>
              </w:rPr>
            </w:pPr>
            <w:r w:rsidRPr="003D5D3A">
              <w:rPr>
                <w:rFonts w:ascii="Bodoni 72 Book" w:hAnsi="Bodoni 72 Book"/>
                <w:sz w:val="22"/>
                <w:szCs w:val="22"/>
                <w:lang w:val="es-ES"/>
              </w:rPr>
              <w:t>(Si/No/Parcialmente)</w:t>
            </w:r>
          </w:p>
        </w:tc>
        <w:tc>
          <w:tcPr>
            <w:tcW w:w="4358" w:type="dxa"/>
            <w:shd w:val="clear" w:color="auto" w:fill="FFF1DA"/>
            <w:vAlign w:val="center"/>
          </w:tcPr>
          <w:p w14:paraId="58BB7315" w14:textId="77777777" w:rsidR="003D5D3A" w:rsidRPr="003D5D3A" w:rsidRDefault="003D5D3A" w:rsidP="003D5D3A">
            <w:pPr>
              <w:jc w:val="center"/>
              <w:rPr>
                <w:rFonts w:ascii="Bodoni 72 Book" w:hAnsi="Bodoni 72 Book"/>
                <w:sz w:val="22"/>
                <w:szCs w:val="22"/>
                <w:lang w:val="es-ES"/>
              </w:rPr>
            </w:pPr>
            <w:r w:rsidRPr="003D5D3A">
              <w:rPr>
                <w:rFonts w:ascii="Bodoni 72 Book" w:hAnsi="Bodoni 72 Book"/>
                <w:sz w:val="22"/>
                <w:szCs w:val="22"/>
                <w:lang w:val="es-ES"/>
              </w:rPr>
              <w:t>Comentarios</w:t>
            </w:r>
          </w:p>
        </w:tc>
        <w:tc>
          <w:tcPr>
            <w:tcW w:w="3577" w:type="dxa"/>
            <w:shd w:val="clear" w:color="auto" w:fill="FFF1DA"/>
            <w:vAlign w:val="center"/>
          </w:tcPr>
          <w:p w14:paraId="2A3AE078" w14:textId="77777777" w:rsidR="003D5D3A" w:rsidRPr="003D5D3A" w:rsidRDefault="003D5D3A" w:rsidP="003D5D3A">
            <w:pPr>
              <w:jc w:val="center"/>
              <w:rPr>
                <w:rFonts w:ascii="Bodoni 72 Book" w:hAnsi="Bodoni 72 Book"/>
                <w:sz w:val="22"/>
                <w:szCs w:val="22"/>
                <w:lang w:val="es-ES"/>
              </w:rPr>
            </w:pPr>
            <w:r w:rsidRPr="003D5D3A">
              <w:rPr>
                <w:rFonts w:ascii="Bodoni 72 Book" w:hAnsi="Bodoni 72 Book"/>
                <w:sz w:val="22"/>
                <w:szCs w:val="22"/>
                <w:lang w:val="es-ES"/>
              </w:rPr>
              <w:t>Medios de verificación</w:t>
            </w:r>
          </w:p>
        </w:tc>
      </w:tr>
      <w:tr w:rsidR="003D5D3A" w:rsidRPr="003D5D3A" w14:paraId="2640E191" w14:textId="77777777" w:rsidTr="003D5D3A">
        <w:tc>
          <w:tcPr>
            <w:tcW w:w="4251" w:type="dxa"/>
          </w:tcPr>
          <w:p w14:paraId="477A8127" w14:textId="77777777" w:rsidR="003D5D3A" w:rsidRPr="003D5D3A" w:rsidRDefault="003D5D3A" w:rsidP="003D5D3A">
            <w:pPr>
              <w:pStyle w:val="ListParagraph"/>
              <w:numPr>
                <w:ilvl w:val="0"/>
                <w:numId w:val="17"/>
              </w:numPr>
              <w:rPr>
                <w:rFonts w:ascii="Avenir Next" w:hAnsi="Avenir Next"/>
                <w:sz w:val="20"/>
                <w:szCs w:val="20"/>
                <w:lang w:val="es-ES"/>
              </w:rPr>
            </w:pPr>
            <w:r w:rsidRPr="003D5D3A">
              <w:rPr>
                <w:rFonts w:ascii="Avenir Next" w:hAnsi="Avenir Next"/>
                <w:sz w:val="20"/>
                <w:szCs w:val="20"/>
                <w:lang w:val="es-ES"/>
              </w:rPr>
              <w:t>¿El SOI identifica y describe los acuerdos legales e institucionales generales que garantizan la implementación de cada salvaguarda?</w:t>
            </w:r>
          </w:p>
          <w:p w14:paraId="41B9924E" w14:textId="77777777" w:rsidR="003D5D3A" w:rsidRPr="003D5D3A" w:rsidRDefault="003D5D3A" w:rsidP="00CE0AF6">
            <w:pPr>
              <w:pStyle w:val="ListParagraph"/>
              <w:rPr>
                <w:rFonts w:ascii="Avenir Next" w:hAnsi="Avenir Next"/>
                <w:sz w:val="20"/>
                <w:szCs w:val="20"/>
                <w:lang w:val="es-ES"/>
              </w:rPr>
            </w:pPr>
          </w:p>
        </w:tc>
        <w:tc>
          <w:tcPr>
            <w:tcW w:w="2126" w:type="dxa"/>
          </w:tcPr>
          <w:p w14:paraId="072E8BB6" w14:textId="77777777" w:rsidR="003D5D3A" w:rsidRPr="003D5D3A" w:rsidRDefault="003D5D3A" w:rsidP="00CE0AF6">
            <w:pPr>
              <w:rPr>
                <w:rFonts w:ascii="Avenir Next" w:hAnsi="Avenir Next"/>
                <w:sz w:val="20"/>
                <w:szCs w:val="20"/>
                <w:lang w:val="es-ES"/>
              </w:rPr>
            </w:pPr>
          </w:p>
        </w:tc>
        <w:tc>
          <w:tcPr>
            <w:tcW w:w="4358" w:type="dxa"/>
          </w:tcPr>
          <w:p w14:paraId="1FB282A3" w14:textId="77777777" w:rsidR="003D5D3A" w:rsidRPr="003D5D3A" w:rsidRDefault="003D5D3A" w:rsidP="00CE0AF6">
            <w:pPr>
              <w:rPr>
                <w:rFonts w:ascii="Avenir Next" w:hAnsi="Avenir Next"/>
                <w:sz w:val="20"/>
                <w:szCs w:val="20"/>
                <w:lang w:val="es-ES"/>
              </w:rPr>
            </w:pPr>
          </w:p>
        </w:tc>
        <w:tc>
          <w:tcPr>
            <w:tcW w:w="3577" w:type="dxa"/>
          </w:tcPr>
          <w:p w14:paraId="1E4A5F90" w14:textId="77777777" w:rsidR="003D5D3A" w:rsidRPr="003D5D3A" w:rsidRDefault="003D5D3A" w:rsidP="00CE0AF6">
            <w:pPr>
              <w:rPr>
                <w:rFonts w:ascii="Avenir Next" w:hAnsi="Avenir Next"/>
                <w:sz w:val="20"/>
                <w:szCs w:val="20"/>
                <w:lang w:val="es-ES"/>
              </w:rPr>
            </w:pPr>
          </w:p>
        </w:tc>
      </w:tr>
      <w:tr w:rsidR="003D5D3A" w:rsidRPr="003D5D3A" w14:paraId="088124EE" w14:textId="77777777" w:rsidTr="003D5D3A">
        <w:tc>
          <w:tcPr>
            <w:tcW w:w="4251" w:type="dxa"/>
          </w:tcPr>
          <w:p w14:paraId="221A51BE" w14:textId="77777777" w:rsidR="003D5D3A" w:rsidRPr="003D5D3A" w:rsidRDefault="003D5D3A" w:rsidP="003D5D3A">
            <w:pPr>
              <w:pStyle w:val="ListParagraph"/>
              <w:numPr>
                <w:ilvl w:val="0"/>
                <w:numId w:val="17"/>
              </w:numPr>
              <w:rPr>
                <w:rFonts w:ascii="Avenir Next" w:hAnsi="Avenir Next"/>
                <w:sz w:val="20"/>
                <w:szCs w:val="20"/>
                <w:lang w:val="es-ES"/>
              </w:rPr>
            </w:pPr>
            <w:r w:rsidRPr="003D5D3A">
              <w:rPr>
                <w:rFonts w:ascii="Avenir Next" w:hAnsi="Avenir Next"/>
                <w:sz w:val="20"/>
                <w:szCs w:val="20"/>
                <w:lang w:val="es-ES"/>
              </w:rPr>
              <w:t>¿El SOI incluye una descripción de los arreglos legales e institucionales particulares vinculados a la acción REDD+ relevante que garantizan la implementación de cada salvaguarda?</w:t>
            </w:r>
          </w:p>
          <w:p w14:paraId="66BEA63C" w14:textId="77777777" w:rsidR="003D5D3A" w:rsidRPr="003D5D3A" w:rsidRDefault="003D5D3A" w:rsidP="00CE0AF6">
            <w:pPr>
              <w:pStyle w:val="ListParagraph"/>
              <w:rPr>
                <w:rFonts w:ascii="Avenir Next" w:hAnsi="Avenir Next"/>
                <w:sz w:val="20"/>
                <w:szCs w:val="20"/>
                <w:lang w:val="es-ES"/>
              </w:rPr>
            </w:pPr>
          </w:p>
        </w:tc>
        <w:tc>
          <w:tcPr>
            <w:tcW w:w="2126" w:type="dxa"/>
          </w:tcPr>
          <w:p w14:paraId="3AFC3F30" w14:textId="77777777" w:rsidR="003D5D3A" w:rsidRPr="003D5D3A" w:rsidRDefault="003D5D3A" w:rsidP="00CE0AF6">
            <w:pPr>
              <w:rPr>
                <w:rFonts w:ascii="Avenir Next" w:hAnsi="Avenir Next"/>
                <w:sz w:val="20"/>
                <w:szCs w:val="20"/>
                <w:lang w:val="es-ES"/>
              </w:rPr>
            </w:pPr>
          </w:p>
        </w:tc>
        <w:tc>
          <w:tcPr>
            <w:tcW w:w="4358" w:type="dxa"/>
          </w:tcPr>
          <w:p w14:paraId="7A10E3C9" w14:textId="77777777" w:rsidR="003D5D3A" w:rsidRPr="003D5D3A" w:rsidRDefault="003D5D3A" w:rsidP="00CE0AF6">
            <w:pPr>
              <w:rPr>
                <w:rFonts w:ascii="Avenir Next" w:hAnsi="Avenir Next"/>
                <w:sz w:val="20"/>
                <w:szCs w:val="20"/>
                <w:lang w:val="es-ES"/>
              </w:rPr>
            </w:pPr>
          </w:p>
        </w:tc>
        <w:tc>
          <w:tcPr>
            <w:tcW w:w="3577" w:type="dxa"/>
          </w:tcPr>
          <w:p w14:paraId="74FF7D91" w14:textId="77777777" w:rsidR="003D5D3A" w:rsidRPr="003D5D3A" w:rsidRDefault="003D5D3A" w:rsidP="00CE0AF6">
            <w:pPr>
              <w:rPr>
                <w:rFonts w:ascii="Avenir Next" w:hAnsi="Avenir Next"/>
                <w:sz w:val="20"/>
                <w:szCs w:val="20"/>
                <w:lang w:val="es-ES"/>
              </w:rPr>
            </w:pPr>
          </w:p>
        </w:tc>
      </w:tr>
      <w:tr w:rsidR="003D5D3A" w:rsidRPr="003D5D3A" w14:paraId="61041E5C" w14:textId="77777777" w:rsidTr="003D5D3A">
        <w:tc>
          <w:tcPr>
            <w:tcW w:w="4251" w:type="dxa"/>
          </w:tcPr>
          <w:p w14:paraId="5D727EAC" w14:textId="77777777" w:rsidR="003D5D3A" w:rsidRPr="003D5D3A" w:rsidRDefault="003D5D3A" w:rsidP="003D5D3A">
            <w:pPr>
              <w:pStyle w:val="ListParagraph"/>
              <w:numPr>
                <w:ilvl w:val="0"/>
                <w:numId w:val="17"/>
              </w:numPr>
              <w:rPr>
                <w:rFonts w:ascii="Avenir Next" w:hAnsi="Avenir Next"/>
                <w:sz w:val="20"/>
                <w:szCs w:val="20"/>
                <w:lang w:val="es-ES"/>
              </w:rPr>
            </w:pPr>
            <w:r w:rsidRPr="003D5D3A">
              <w:rPr>
                <w:rFonts w:ascii="Avenir Next" w:hAnsi="Avenir Next"/>
                <w:sz w:val="20"/>
                <w:szCs w:val="20"/>
                <w:lang w:val="es-ES"/>
              </w:rPr>
              <w:t>¿El SOI proporciona información de los resultados particulares de las acciones REDD+ en correlación con cada salvaguarda?</w:t>
            </w:r>
          </w:p>
          <w:p w14:paraId="0C727FE1" w14:textId="77777777" w:rsidR="003D5D3A" w:rsidRPr="003D5D3A" w:rsidRDefault="003D5D3A" w:rsidP="00CE0AF6">
            <w:pPr>
              <w:pStyle w:val="ListParagraph"/>
              <w:rPr>
                <w:rFonts w:ascii="Avenir Next" w:hAnsi="Avenir Next"/>
                <w:sz w:val="20"/>
                <w:szCs w:val="20"/>
                <w:lang w:val="es-ES"/>
              </w:rPr>
            </w:pPr>
          </w:p>
        </w:tc>
        <w:tc>
          <w:tcPr>
            <w:tcW w:w="2126" w:type="dxa"/>
          </w:tcPr>
          <w:p w14:paraId="1FA083BA" w14:textId="77777777" w:rsidR="003D5D3A" w:rsidRPr="003D5D3A" w:rsidRDefault="003D5D3A" w:rsidP="00CE0AF6">
            <w:pPr>
              <w:rPr>
                <w:rFonts w:ascii="Avenir Next" w:hAnsi="Avenir Next"/>
                <w:sz w:val="20"/>
                <w:szCs w:val="20"/>
                <w:lang w:val="es-ES"/>
              </w:rPr>
            </w:pPr>
          </w:p>
        </w:tc>
        <w:tc>
          <w:tcPr>
            <w:tcW w:w="4358" w:type="dxa"/>
          </w:tcPr>
          <w:p w14:paraId="6BEA37C1" w14:textId="77777777" w:rsidR="003D5D3A" w:rsidRPr="003D5D3A" w:rsidRDefault="003D5D3A" w:rsidP="00CE0AF6">
            <w:pPr>
              <w:rPr>
                <w:rFonts w:ascii="Avenir Next" w:hAnsi="Avenir Next"/>
                <w:sz w:val="20"/>
                <w:szCs w:val="20"/>
                <w:lang w:val="es-ES"/>
              </w:rPr>
            </w:pPr>
          </w:p>
        </w:tc>
        <w:tc>
          <w:tcPr>
            <w:tcW w:w="3577" w:type="dxa"/>
          </w:tcPr>
          <w:p w14:paraId="1369E85E" w14:textId="77777777" w:rsidR="003D5D3A" w:rsidRPr="003D5D3A" w:rsidRDefault="003D5D3A" w:rsidP="00CE0AF6">
            <w:pPr>
              <w:rPr>
                <w:rFonts w:ascii="Avenir Next" w:hAnsi="Avenir Next"/>
                <w:sz w:val="20"/>
                <w:szCs w:val="20"/>
                <w:lang w:val="es-ES"/>
              </w:rPr>
            </w:pPr>
          </w:p>
        </w:tc>
      </w:tr>
      <w:tr w:rsidR="003D5D3A" w:rsidRPr="003D5D3A" w14:paraId="5ABEAB54" w14:textId="77777777" w:rsidTr="003D5D3A">
        <w:tc>
          <w:tcPr>
            <w:tcW w:w="4251" w:type="dxa"/>
          </w:tcPr>
          <w:p w14:paraId="760DA2CF" w14:textId="77777777" w:rsidR="003D5D3A" w:rsidRPr="003D5D3A" w:rsidRDefault="003D5D3A" w:rsidP="003D5D3A">
            <w:pPr>
              <w:pStyle w:val="ListParagraph"/>
              <w:numPr>
                <w:ilvl w:val="0"/>
                <w:numId w:val="17"/>
              </w:numPr>
              <w:rPr>
                <w:rFonts w:ascii="Avenir Next" w:hAnsi="Avenir Next"/>
                <w:sz w:val="20"/>
                <w:szCs w:val="20"/>
                <w:lang w:val="es-ES"/>
              </w:rPr>
            </w:pPr>
            <w:r w:rsidRPr="003D5D3A">
              <w:rPr>
                <w:rFonts w:ascii="Avenir Next" w:hAnsi="Avenir Next"/>
                <w:sz w:val="20"/>
                <w:szCs w:val="20"/>
                <w:lang w:val="es-ES"/>
              </w:rPr>
              <w:t>¿El SOI identifica los desafíos (incluidas las necesidades de capacidad, financieras y técnicas) para garantizar el cumplimiento de las salvaguardas e identifica posibles medidas de mejora?</w:t>
            </w:r>
          </w:p>
          <w:p w14:paraId="042BD4EA" w14:textId="77777777" w:rsidR="003D5D3A" w:rsidRPr="003D5D3A" w:rsidRDefault="003D5D3A" w:rsidP="00CE0AF6">
            <w:pPr>
              <w:pStyle w:val="ListParagraph"/>
              <w:rPr>
                <w:rFonts w:ascii="Avenir Next" w:hAnsi="Avenir Next"/>
                <w:sz w:val="20"/>
                <w:szCs w:val="20"/>
                <w:lang w:val="es-ES"/>
              </w:rPr>
            </w:pPr>
          </w:p>
        </w:tc>
        <w:tc>
          <w:tcPr>
            <w:tcW w:w="2126" w:type="dxa"/>
          </w:tcPr>
          <w:p w14:paraId="2093D646" w14:textId="77777777" w:rsidR="003D5D3A" w:rsidRPr="003D5D3A" w:rsidRDefault="003D5D3A" w:rsidP="00CE0AF6">
            <w:pPr>
              <w:rPr>
                <w:rFonts w:ascii="Avenir Next" w:hAnsi="Avenir Next"/>
                <w:sz w:val="20"/>
                <w:szCs w:val="20"/>
                <w:lang w:val="es-ES"/>
              </w:rPr>
            </w:pPr>
          </w:p>
        </w:tc>
        <w:tc>
          <w:tcPr>
            <w:tcW w:w="4358" w:type="dxa"/>
          </w:tcPr>
          <w:p w14:paraId="628FF6EC" w14:textId="77777777" w:rsidR="003D5D3A" w:rsidRPr="003D5D3A" w:rsidRDefault="003D5D3A" w:rsidP="00CE0AF6">
            <w:pPr>
              <w:rPr>
                <w:rFonts w:ascii="Avenir Next" w:hAnsi="Avenir Next"/>
                <w:sz w:val="20"/>
                <w:szCs w:val="20"/>
                <w:lang w:val="es-ES"/>
              </w:rPr>
            </w:pPr>
          </w:p>
        </w:tc>
        <w:tc>
          <w:tcPr>
            <w:tcW w:w="3577" w:type="dxa"/>
          </w:tcPr>
          <w:p w14:paraId="48009E1D" w14:textId="77777777" w:rsidR="003D5D3A" w:rsidRPr="003D5D3A" w:rsidRDefault="003D5D3A" w:rsidP="00CE0AF6">
            <w:pPr>
              <w:rPr>
                <w:rFonts w:ascii="Avenir Next" w:hAnsi="Avenir Next"/>
                <w:sz w:val="20"/>
                <w:szCs w:val="20"/>
                <w:lang w:val="es-ES"/>
              </w:rPr>
            </w:pPr>
          </w:p>
        </w:tc>
      </w:tr>
      <w:tr w:rsidR="003D5D3A" w:rsidRPr="003D5D3A" w14:paraId="2E322D6E" w14:textId="77777777" w:rsidTr="003D5D3A">
        <w:tc>
          <w:tcPr>
            <w:tcW w:w="14312" w:type="dxa"/>
            <w:gridSpan w:val="4"/>
            <w:shd w:val="clear" w:color="auto" w:fill="E0CCBF"/>
            <w:vAlign w:val="center"/>
          </w:tcPr>
          <w:p w14:paraId="5C7C78C6" w14:textId="1A7DECD5" w:rsidR="003D5D3A" w:rsidRPr="003D5D3A" w:rsidRDefault="003D5D3A" w:rsidP="003D5D3A">
            <w:pPr>
              <w:rPr>
                <w:rFonts w:ascii="Avenir Next Ultra Light" w:hAnsi="Avenir Next Ultra Light"/>
                <w:b/>
                <w:bCs/>
                <w:lang w:val="es-ES"/>
              </w:rPr>
            </w:pPr>
            <w:r w:rsidRPr="003D5D3A">
              <w:rPr>
                <w:rFonts w:ascii="Avenir Next Ultra Light" w:hAnsi="Avenir Next Ultra Light"/>
                <w:b/>
                <w:bCs/>
                <w:lang w:val="es-ES"/>
              </w:rPr>
              <w:t>Participación de los interesados</w:t>
            </w:r>
          </w:p>
        </w:tc>
      </w:tr>
      <w:tr w:rsidR="003D5D3A" w:rsidRPr="003D5D3A" w14:paraId="5631E0D7" w14:textId="77777777" w:rsidTr="003D5D3A">
        <w:tc>
          <w:tcPr>
            <w:tcW w:w="4251" w:type="dxa"/>
            <w:shd w:val="clear" w:color="auto" w:fill="FFF1DA"/>
            <w:vAlign w:val="center"/>
          </w:tcPr>
          <w:p w14:paraId="5605A535" w14:textId="77777777" w:rsidR="003D5D3A" w:rsidRPr="003D5D3A" w:rsidRDefault="003D5D3A" w:rsidP="003D5D3A">
            <w:pPr>
              <w:jc w:val="center"/>
              <w:rPr>
                <w:rFonts w:ascii="Bodoni 72 Book" w:hAnsi="Bodoni 72 Book"/>
                <w:sz w:val="22"/>
                <w:szCs w:val="22"/>
                <w:lang w:val="es-ES"/>
              </w:rPr>
            </w:pPr>
            <w:r w:rsidRPr="003D5D3A">
              <w:rPr>
                <w:rFonts w:ascii="Bodoni 72 Book" w:hAnsi="Bodoni 72 Book"/>
                <w:sz w:val="22"/>
                <w:szCs w:val="22"/>
                <w:lang w:val="es-ES"/>
              </w:rPr>
              <w:lastRenderedPageBreak/>
              <w:t>Preguntas</w:t>
            </w:r>
          </w:p>
        </w:tc>
        <w:tc>
          <w:tcPr>
            <w:tcW w:w="2126" w:type="dxa"/>
            <w:shd w:val="clear" w:color="auto" w:fill="FFF1DA"/>
            <w:vAlign w:val="center"/>
          </w:tcPr>
          <w:p w14:paraId="319FD0B3" w14:textId="77777777" w:rsidR="003D5D3A" w:rsidRPr="003D5D3A" w:rsidRDefault="003D5D3A" w:rsidP="003D5D3A">
            <w:pPr>
              <w:jc w:val="center"/>
              <w:rPr>
                <w:rFonts w:ascii="Bodoni 72 Book" w:hAnsi="Bodoni 72 Book"/>
                <w:sz w:val="22"/>
                <w:szCs w:val="22"/>
                <w:lang w:val="es-ES"/>
              </w:rPr>
            </w:pPr>
            <w:r w:rsidRPr="003D5D3A">
              <w:rPr>
                <w:rFonts w:ascii="Bodoni 72 Book" w:hAnsi="Bodoni 72 Book"/>
                <w:sz w:val="22"/>
                <w:szCs w:val="22"/>
                <w:lang w:val="es-ES"/>
              </w:rPr>
              <w:t>Puntuación</w:t>
            </w:r>
          </w:p>
          <w:p w14:paraId="5B1632D3" w14:textId="77777777" w:rsidR="003D5D3A" w:rsidRPr="003D5D3A" w:rsidRDefault="003D5D3A" w:rsidP="003D5D3A">
            <w:pPr>
              <w:jc w:val="center"/>
              <w:rPr>
                <w:rFonts w:ascii="Bodoni 72 Book" w:hAnsi="Bodoni 72 Book"/>
                <w:sz w:val="22"/>
                <w:szCs w:val="22"/>
                <w:lang w:val="es-ES"/>
              </w:rPr>
            </w:pPr>
            <w:r w:rsidRPr="003D5D3A">
              <w:rPr>
                <w:rFonts w:ascii="Bodoni 72 Book" w:hAnsi="Bodoni 72 Book"/>
                <w:sz w:val="22"/>
                <w:szCs w:val="22"/>
                <w:lang w:val="es-ES"/>
              </w:rPr>
              <w:t>(Si/No/Parcialmente)</w:t>
            </w:r>
          </w:p>
        </w:tc>
        <w:tc>
          <w:tcPr>
            <w:tcW w:w="4358" w:type="dxa"/>
            <w:shd w:val="clear" w:color="auto" w:fill="FFF1DA"/>
            <w:vAlign w:val="center"/>
          </w:tcPr>
          <w:p w14:paraId="7DA8B3A6" w14:textId="77777777" w:rsidR="003D5D3A" w:rsidRPr="003D5D3A" w:rsidRDefault="003D5D3A" w:rsidP="003D5D3A">
            <w:pPr>
              <w:jc w:val="center"/>
              <w:rPr>
                <w:rFonts w:ascii="Bodoni 72 Book" w:hAnsi="Bodoni 72 Book"/>
                <w:sz w:val="22"/>
                <w:szCs w:val="22"/>
                <w:lang w:val="es-ES"/>
              </w:rPr>
            </w:pPr>
            <w:r w:rsidRPr="003D5D3A">
              <w:rPr>
                <w:rFonts w:ascii="Bodoni 72 Book" w:hAnsi="Bodoni 72 Book"/>
                <w:sz w:val="22"/>
                <w:szCs w:val="22"/>
                <w:lang w:val="es-ES"/>
              </w:rPr>
              <w:t>Comentarios</w:t>
            </w:r>
          </w:p>
        </w:tc>
        <w:tc>
          <w:tcPr>
            <w:tcW w:w="3577" w:type="dxa"/>
            <w:shd w:val="clear" w:color="auto" w:fill="FFF1DA"/>
            <w:vAlign w:val="center"/>
          </w:tcPr>
          <w:p w14:paraId="4C00CFD4" w14:textId="77777777" w:rsidR="003D5D3A" w:rsidRPr="003D5D3A" w:rsidRDefault="003D5D3A" w:rsidP="003D5D3A">
            <w:pPr>
              <w:jc w:val="center"/>
              <w:rPr>
                <w:rFonts w:ascii="Bodoni 72 Book" w:hAnsi="Bodoni 72 Book"/>
                <w:sz w:val="22"/>
                <w:szCs w:val="22"/>
                <w:lang w:val="es-ES"/>
              </w:rPr>
            </w:pPr>
            <w:r w:rsidRPr="003D5D3A">
              <w:rPr>
                <w:rFonts w:ascii="Bodoni 72 Book" w:hAnsi="Bodoni 72 Book"/>
                <w:sz w:val="22"/>
                <w:szCs w:val="22"/>
                <w:lang w:val="es-ES"/>
              </w:rPr>
              <w:t>Medios de verificación</w:t>
            </w:r>
          </w:p>
        </w:tc>
      </w:tr>
      <w:tr w:rsidR="003D5D3A" w:rsidRPr="003D5D3A" w14:paraId="0D56560B" w14:textId="77777777" w:rsidTr="003D5D3A">
        <w:tc>
          <w:tcPr>
            <w:tcW w:w="4251" w:type="dxa"/>
          </w:tcPr>
          <w:p w14:paraId="528B765D" w14:textId="77777777" w:rsidR="003D5D3A" w:rsidRPr="003D5D3A" w:rsidRDefault="003D5D3A" w:rsidP="003D5D3A">
            <w:pPr>
              <w:pStyle w:val="ListParagraph"/>
              <w:numPr>
                <w:ilvl w:val="0"/>
                <w:numId w:val="17"/>
              </w:numPr>
              <w:rPr>
                <w:rFonts w:ascii="Avenir Next" w:hAnsi="Avenir Next"/>
                <w:sz w:val="20"/>
                <w:szCs w:val="20"/>
                <w:lang w:val="es-ES"/>
              </w:rPr>
            </w:pPr>
            <w:r w:rsidRPr="003D5D3A">
              <w:rPr>
                <w:rFonts w:ascii="Avenir Next" w:hAnsi="Avenir Next"/>
                <w:sz w:val="20"/>
                <w:szCs w:val="20"/>
                <w:lang w:val="es-ES"/>
              </w:rPr>
              <w:t>¿El SOI presenta información sobre cómo se preparó?</w:t>
            </w:r>
          </w:p>
        </w:tc>
        <w:tc>
          <w:tcPr>
            <w:tcW w:w="2126" w:type="dxa"/>
          </w:tcPr>
          <w:p w14:paraId="4B48BAF5" w14:textId="77777777" w:rsidR="003D5D3A" w:rsidRPr="003D5D3A" w:rsidRDefault="003D5D3A" w:rsidP="00CE0AF6">
            <w:pPr>
              <w:rPr>
                <w:rFonts w:ascii="Avenir Next" w:hAnsi="Avenir Next"/>
                <w:sz w:val="20"/>
                <w:szCs w:val="20"/>
                <w:lang w:val="es-ES"/>
              </w:rPr>
            </w:pPr>
          </w:p>
        </w:tc>
        <w:tc>
          <w:tcPr>
            <w:tcW w:w="4358" w:type="dxa"/>
          </w:tcPr>
          <w:p w14:paraId="4039156E" w14:textId="77777777" w:rsidR="003D5D3A" w:rsidRPr="003D5D3A" w:rsidRDefault="003D5D3A" w:rsidP="00CE0AF6">
            <w:pPr>
              <w:rPr>
                <w:rFonts w:ascii="Avenir Next" w:hAnsi="Avenir Next"/>
                <w:sz w:val="20"/>
                <w:szCs w:val="20"/>
                <w:lang w:val="es-ES"/>
              </w:rPr>
            </w:pPr>
          </w:p>
        </w:tc>
        <w:tc>
          <w:tcPr>
            <w:tcW w:w="3577" w:type="dxa"/>
          </w:tcPr>
          <w:p w14:paraId="68F8014A" w14:textId="77777777" w:rsidR="003D5D3A" w:rsidRPr="003D5D3A" w:rsidRDefault="003D5D3A" w:rsidP="00CE0AF6">
            <w:pPr>
              <w:rPr>
                <w:rFonts w:ascii="Avenir Next" w:hAnsi="Avenir Next"/>
                <w:sz w:val="20"/>
                <w:szCs w:val="20"/>
                <w:lang w:val="es-ES"/>
              </w:rPr>
            </w:pPr>
          </w:p>
        </w:tc>
      </w:tr>
    </w:tbl>
    <w:p w14:paraId="05B5FD05" w14:textId="77777777" w:rsidR="003D5D3A" w:rsidRDefault="003D5D3A">
      <w:pPr>
        <w:spacing w:before="120" w:after="120" w:line="336" w:lineRule="auto"/>
        <w:rPr>
          <w:rFonts w:ascii="IBM Plex Sans" w:eastAsia="IBM Plex Sans" w:hAnsi="IBM Plex Sans" w:cs="IBM Plex Sans"/>
          <w:color w:val="000000"/>
          <w:lang w:val="es-ES"/>
        </w:rPr>
      </w:pPr>
    </w:p>
    <w:p w14:paraId="0A40BFF1" w14:textId="77777777" w:rsidR="003D5D3A" w:rsidRDefault="003D5D3A">
      <w:pPr>
        <w:spacing w:before="120" w:after="120" w:line="336" w:lineRule="auto"/>
        <w:rPr>
          <w:rFonts w:ascii="IBM Plex Sans" w:eastAsia="IBM Plex Sans" w:hAnsi="IBM Plex Sans" w:cs="IBM Plex Sans"/>
          <w:color w:val="000000"/>
          <w:lang w:val="es-ES"/>
        </w:rPr>
      </w:pPr>
    </w:p>
    <w:p w14:paraId="17215147" w14:textId="77777777" w:rsidR="003D5D3A" w:rsidRDefault="003D5D3A">
      <w:pPr>
        <w:spacing w:before="120" w:after="120" w:line="336" w:lineRule="auto"/>
        <w:rPr>
          <w:rFonts w:ascii="IBM Plex Sans" w:eastAsia="IBM Plex Sans" w:hAnsi="IBM Plex Sans" w:cs="IBM Plex Sans"/>
          <w:color w:val="000000"/>
          <w:lang w:val="es-ES"/>
        </w:rPr>
      </w:pPr>
    </w:p>
    <w:p w14:paraId="19F8A22C" w14:textId="77777777" w:rsidR="003D5D3A" w:rsidRDefault="003D5D3A">
      <w:pPr>
        <w:spacing w:before="120" w:after="120" w:line="336" w:lineRule="auto"/>
        <w:rPr>
          <w:rFonts w:ascii="IBM Plex Sans" w:eastAsia="IBM Plex Sans" w:hAnsi="IBM Plex Sans" w:cs="IBM Plex Sans"/>
          <w:color w:val="000000"/>
          <w:lang w:val="es-ES"/>
        </w:rPr>
      </w:pPr>
    </w:p>
    <w:p w14:paraId="22F3D06F" w14:textId="77777777" w:rsidR="003D5D3A" w:rsidRDefault="003D5D3A">
      <w:pPr>
        <w:spacing w:before="120" w:after="120" w:line="336" w:lineRule="auto"/>
        <w:rPr>
          <w:rFonts w:ascii="IBM Plex Sans" w:eastAsia="IBM Plex Sans" w:hAnsi="IBM Plex Sans" w:cs="IBM Plex Sans"/>
          <w:color w:val="000000"/>
          <w:lang w:val="es-ES"/>
        </w:rPr>
      </w:pPr>
    </w:p>
    <w:p w14:paraId="743E5ACF" w14:textId="77777777" w:rsidR="003D5D3A" w:rsidRDefault="003D5D3A">
      <w:pPr>
        <w:spacing w:before="120" w:after="120" w:line="336" w:lineRule="auto"/>
        <w:rPr>
          <w:rFonts w:ascii="IBM Plex Sans" w:eastAsia="IBM Plex Sans" w:hAnsi="IBM Plex Sans" w:cs="IBM Plex Sans"/>
          <w:color w:val="000000"/>
          <w:lang w:val="es-ES"/>
        </w:rPr>
      </w:pPr>
    </w:p>
    <w:p w14:paraId="28A17134" w14:textId="7E8FF887" w:rsidR="00A355C3" w:rsidRPr="003D5D3A" w:rsidRDefault="00000000">
      <w:pPr>
        <w:spacing w:before="120" w:after="120" w:line="336" w:lineRule="auto"/>
        <w:rPr>
          <w:lang w:val="es-ES"/>
        </w:rPr>
      </w:pPr>
      <w:r w:rsidRPr="003D5D3A">
        <w:rPr>
          <w:rFonts w:ascii="IBM Plex Sans" w:eastAsia="IBM Plex Sans" w:hAnsi="IBM Plex Sans" w:cs="IBM Plex Sans"/>
          <w:color w:val="000000"/>
          <w:lang w:val="es-ES"/>
        </w:rPr>
        <w:t xml:space="preserve"> </w:t>
      </w:r>
      <w:r w:rsidRPr="003D5D3A">
        <w:rPr>
          <w:rFonts w:ascii="IBM Plex Sans" w:eastAsia="IBM Plex Sans" w:hAnsi="IBM Plex Sans" w:cs="IBM Plex Sans"/>
          <w:color w:val="00646A"/>
          <w:lang w:val="es-ES"/>
        </w:rPr>
        <w:t xml:space="preserve"> </w:t>
      </w:r>
    </w:p>
    <w:p w14:paraId="3D78C860" w14:textId="77777777" w:rsidR="003D5D3A" w:rsidRDefault="003D5D3A">
      <w:pPr>
        <w:spacing w:before="120" w:after="120" w:line="336" w:lineRule="auto"/>
        <w:rPr>
          <w:rFonts w:ascii="Montserrat" w:eastAsia="Montserrat" w:hAnsi="Montserrat" w:cs="Montserrat"/>
          <w:color w:val="897C75"/>
          <w:sz w:val="64"/>
          <w:szCs w:val="64"/>
          <w:lang w:val="es-ES"/>
        </w:rPr>
      </w:pPr>
    </w:p>
    <w:p w14:paraId="4C013088" w14:textId="77777777" w:rsidR="003D5D3A" w:rsidRDefault="003D5D3A">
      <w:pPr>
        <w:spacing w:before="120" w:after="120" w:line="336" w:lineRule="auto"/>
        <w:rPr>
          <w:rFonts w:ascii="Montserrat" w:eastAsia="Montserrat" w:hAnsi="Montserrat" w:cs="Montserrat"/>
          <w:color w:val="897C75"/>
          <w:sz w:val="64"/>
          <w:szCs w:val="64"/>
          <w:lang w:val="es-ES"/>
        </w:rPr>
        <w:sectPr w:rsidR="003D5D3A" w:rsidSect="00480509">
          <w:pgSz w:w="16845" w:h="11910" w:orient="landscape"/>
          <w:pgMar w:top="1440" w:right="1440" w:bottom="1440" w:left="1440" w:header="720" w:footer="720" w:gutter="0"/>
          <w:cols w:space="720"/>
          <w:docGrid w:linePitch="326"/>
        </w:sectPr>
      </w:pPr>
    </w:p>
    <w:p w14:paraId="5480AA89" w14:textId="5DABE337" w:rsidR="00A355C3" w:rsidRPr="003D5D3A" w:rsidRDefault="003D5D3A">
      <w:pPr>
        <w:spacing w:before="120" w:after="120" w:line="336" w:lineRule="auto"/>
        <w:rPr>
          <w:rFonts w:ascii="Bodoni 72 Book" w:hAnsi="Bodoni 72 Book"/>
          <w:lang w:val="es-ES"/>
        </w:rPr>
      </w:pPr>
      <w:r w:rsidRPr="003D5D3A">
        <w:rPr>
          <w:rFonts w:ascii="Bodoni 72 Book" w:eastAsia="Montserrat" w:hAnsi="Bodoni 72 Book" w:cs="Montserrat"/>
          <w:color w:val="897C75"/>
          <w:sz w:val="64"/>
          <w:szCs w:val="64"/>
          <w:lang w:val="es-ES"/>
        </w:rPr>
        <w:lastRenderedPageBreak/>
        <w:t>Sección B - Plantilla de Informe para la Evaluación Cualitativa</w:t>
      </w:r>
    </w:p>
    <w:p w14:paraId="671B3105" w14:textId="77777777" w:rsidR="00A355C3" w:rsidRPr="003D5D3A" w:rsidRDefault="00A355C3">
      <w:pPr>
        <w:pBdr>
          <w:bottom w:val="single" w:sz="6" w:space="0" w:color="897C75"/>
        </w:pBdr>
        <w:spacing w:before="120" w:after="120" w:line="0" w:lineRule="auto"/>
        <w:rPr>
          <w:lang w:val="es-ES"/>
        </w:rPr>
      </w:pPr>
    </w:p>
    <w:p w14:paraId="5636D029" w14:textId="77777777" w:rsidR="003D5D3A" w:rsidRPr="003D5D3A" w:rsidRDefault="003D5D3A" w:rsidP="003D5D3A">
      <w:pPr>
        <w:spacing w:before="120" w:after="120" w:line="336" w:lineRule="auto"/>
        <w:rPr>
          <w:rFonts w:ascii="Avenir Next" w:eastAsia="IBM Plex Sans" w:hAnsi="Avenir Next" w:cs="IBM Plex Sans"/>
          <w:color w:val="000000"/>
          <w:sz w:val="20"/>
          <w:szCs w:val="20"/>
          <w:lang w:val="es-ES"/>
        </w:rPr>
      </w:pPr>
      <w:r w:rsidRPr="003D5D3A">
        <w:rPr>
          <w:rFonts w:ascii="Avenir Next" w:eastAsia="IBM Plex Sans" w:hAnsi="Avenir Next" w:cs="IBM Plex Sans"/>
          <w:color w:val="000000"/>
          <w:sz w:val="20"/>
          <w:szCs w:val="20"/>
          <w:lang w:val="es-ES"/>
        </w:rPr>
        <w:t xml:space="preserve">Para completar este informe de plantilla, los usuarios (con el apoyo de una organización internacional experta seleccionada) deben considerar las respuestas proporcionadas en la 'Sección A' anterior. </w:t>
      </w:r>
    </w:p>
    <w:p w14:paraId="4CB30F00" w14:textId="77777777" w:rsidR="003D5D3A" w:rsidRDefault="003D5D3A" w:rsidP="003D5D3A">
      <w:pPr>
        <w:spacing w:before="120" w:after="120" w:line="336" w:lineRule="auto"/>
        <w:rPr>
          <w:rFonts w:ascii="Avenir Next" w:eastAsia="IBM Plex Sans" w:hAnsi="Avenir Next" w:cs="IBM Plex Sans"/>
          <w:color w:val="000000"/>
          <w:sz w:val="20"/>
          <w:szCs w:val="20"/>
          <w:lang w:val="es-ES"/>
        </w:rPr>
      </w:pPr>
      <w:r w:rsidRPr="003D5D3A">
        <w:rPr>
          <w:rFonts w:ascii="Avenir Next" w:eastAsia="IBM Plex Sans" w:hAnsi="Avenir Next" w:cs="IBM Plex Sans"/>
          <w:color w:val="000000"/>
          <w:sz w:val="20"/>
          <w:szCs w:val="20"/>
          <w:lang w:val="es-ES"/>
        </w:rPr>
        <w:t xml:space="preserve">Al completar esta plantilla, los usuarios deberán considerar el alcance de cada columna de la siguiente manera: </w:t>
      </w:r>
    </w:p>
    <w:p w14:paraId="02F6F9EE" w14:textId="77777777" w:rsidR="003D5D3A" w:rsidRDefault="003D5D3A" w:rsidP="003D5D3A">
      <w:pPr>
        <w:pStyle w:val="ListParagraph"/>
        <w:numPr>
          <w:ilvl w:val="0"/>
          <w:numId w:val="18"/>
        </w:numPr>
        <w:spacing w:before="120" w:after="120" w:line="336" w:lineRule="auto"/>
        <w:rPr>
          <w:rFonts w:ascii="Avenir Next" w:eastAsia="IBM Plex Sans" w:hAnsi="Avenir Next" w:cs="IBM Plex Sans"/>
          <w:color w:val="000000"/>
          <w:sz w:val="20"/>
          <w:szCs w:val="20"/>
          <w:lang w:val="es-ES"/>
        </w:rPr>
      </w:pPr>
      <w:r w:rsidRPr="003D5D3A">
        <w:rPr>
          <w:rFonts w:ascii="Avenir Next" w:eastAsia="IBM Plex Sans" w:hAnsi="Avenir Next" w:cs="IBM Plex Sans"/>
          <w:color w:val="000000"/>
          <w:sz w:val="20"/>
          <w:szCs w:val="20"/>
          <w:lang w:val="es-ES"/>
        </w:rPr>
        <w:t>Columna 2 (Deficiencias o brechas identificadas): para que los usuarios identifiquen y resuman las deficiencias o brechas clave (problemas de no conformidad) identificadas en correlación con cada una de las mejores prácticas internacionales, es decir, cuando la puntuación identificada fue 'Parcialmente'. o 'No' en la 'Sección A'. También existe la oportunidad de identificar otras deficiencias generales.</w:t>
      </w:r>
    </w:p>
    <w:p w14:paraId="5F6DBCC1" w14:textId="07A2933B" w:rsidR="003D5D3A" w:rsidRPr="003D5D3A" w:rsidRDefault="003D5D3A" w:rsidP="003D5D3A">
      <w:pPr>
        <w:pStyle w:val="ListParagraph"/>
        <w:numPr>
          <w:ilvl w:val="0"/>
          <w:numId w:val="18"/>
        </w:numPr>
        <w:spacing w:before="120" w:after="120" w:line="336" w:lineRule="auto"/>
        <w:rPr>
          <w:rFonts w:ascii="Avenir Next" w:eastAsia="IBM Plex Sans" w:hAnsi="Avenir Next" w:cs="IBM Plex Sans"/>
          <w:color w:val="000000"/>
          <w:sz w:val="20"/>
          <w:szCs w:val="20"/>
          <w:lang w:val="es-ES"/>
        </w:rPr>
      </w:pPr>
      <w:r w:rsidRPr="003D5D3A">
        <w:rPr>
          <w:rFonts w:ascii="Avenir Next" w:eastAsia="IBM Plex Sans" w:hAnsi="Avenir Next" w:cs="IBM Plex Sans"/>
          <w:color w:val="000000"/>
          <w:sz w:val="20"/>
          <w:szCs w:val="20"/>
          <w:lang w:val="es-ES"/>
        </w:rPr>
        <w:t>Columna 3 (Recomendaciones): para que los usuarios identifiquen acciones/recomendaciones a tomar para abordar estas deficiencias o brechas clave.</w:t>
      </w:r>
    </w:p>
    <w:tbl>
      <w:tblPr>
        <w:tblStyle w:val="TableGrid"/>
        <w:tblW w:w="13948" w:type="dxa"/>
        <w:tblBorders>
          <w:top w:val="single" w:sz="6" w:space="0" w:color="E0CCBF"/>
          <w:left w:val="single" w:sz="6" w:space="0" w:color="E0CCBF"/>
          <w:bottom w:val="single" w:sz="6" w:space="0" w:color="E0CCBF"/>
          <w:right w:val="single" w:sz="6" w:space="0" w:color="E0CCBF"/>
          <w:insideH w:val="single" w:sz="6" w:space="0" w:color="E0CCBF"/>
          <w:insideV w:val="single" w:sz="6" w:space="0" w:color="E0CCBF"/>
        </w:tblBorders>
        <w:tblLook w:val="04A0" w:firstRow="1" w:lastRow="0" w:firstColumn="1" w:lastColumn="0" w:noHBand="0" w:noVBand="1"/>
      </w:tblPr>
      <w:tblGrid>
        <w:gridCol w:w="3660"/>
        <w:gridCol w:w="4995"/>
        <w:gridCol w:w="5293"/>
      </w:tblGrid>
      <w:tr w:rsidR="003D5D3A" w:rsidRPr="003D5D3A" w14:paraId="43AA7807" w14:textId="77777777" w:rsidTr="003D5D3A">
        <w:trPr>
          <w:trHeight w:val="300"/>
        </w:trPr>
        <w:tc>
          <w:tcPr>
            <w:tcW w:w="3660" w:type="dxa"/>
            <w:shd w:val="clear" w:color="auto" w:fill="E0CCBF"/>
            <w:vAlign w:val="center"/>
          </w:tcPr>
          <w:p w14:paraId="5A5B33A8" w14:textId="77777777" w:rsidR="003D5D3A" w:rsidRPr="003D5D3A" w:rsidRDefault="003D5D3A" w:rsidP="003D5D3A">
            <w:pPr>
              <w:jc w:val="center"/>
              <w:rPr>
                <w:rFonts w:ascii="Bodoni 72 Book" w:hAnsi="Bodoni 72 Book"/>
                <w:sz w:val="22"/>
                <w:szCs w:val="22"/>
                <w:lang w:val="es-ES"/>
              </w:rPr>
            </w:pPr>
            <w:r w:rsidRPr="003D5D3A">
              <w:rPr>
                <w:rFonts w:ascii="Bodoni 72 Book" w:hAnsi="Bodoni 72 Book"/>
                <w:sz w:val="22"/>
                <w:szCs w:val="22"/>
                <w:lang w:val="es-ES"/>
              </w:rPr>
              <w:t>Mejores prácticas internacionales</w:t>
            </w:r>
          </w:p>
        </w:tc>
        <w:tc>
          <w:tcPr>
            <w:tcW w:w="4995" w:type="dxa"/>
            <w:shd w:val="clear" w:color="auto" w:fill="E0CCBF"/>
            <w:vAlign w:val="center"/>
          </w:tcPr>
          <w:p w14:paraId="77D99091" w14:textId="77777777" w:rsidR="003D5D3A" w:rsidRPr="003D5D3A" w:rsidRDefault="003D5D3A" w:rsidP="003D5D3A">
            <w:pPr>
              <w:jc w:val="center"/>
              <w:rPr>
                <w:rFonts w:ascii="Bodoni 72 Book" w:hAnsi="Bodoni 72 Book"/>
                <w:sz w:val="22"/>
                <w:szCs w:val="22"/>
                <w:lang w:val="es-ES"/>
              </w:rPr>
            </w:pPr>
            <w:r w:rsidRPr="003D5D3A">
              <w:rPr>
                <w:rFonts w:ascii="Bodoni 72 Book" w:hAnsi="Bodoni 72 Book"/>
                <w:sz w:val="22"/>
                <w:szCs w:val="22"/>
                <w:lang w:val="es-ES"/>
              </w:rPr>
              <w:t>Deficiencias/lagunas identificadas</w:t>
            </w:r>
          </w:p>
        </w:tc>
        <w:tc>
          <w:tcPr>
            <w:tcW w:w="5293" w:type="dxa"/>
            <w:shd w:val="clear" w:color="auto" w:fill="E0CCBF"/>
            <w:vAlign w:val="center"/>
          </w:tcPr>
          <w:p w14:paraId="708BF106" w14:textId="6F73D575" w:rsidR="003D5D3A" w:rsidRPr="003D5D3A" w:rsidRDefault="003D5D3A" w:rsidP="003D5D3A">
            <w:pPr>
              <w:jc w:val="center"/>
              <w:rPr>
                <w:rFonts w:ascii="Bodoni 72 Book" w:hAnsi="Bodoni 72 Book"/>
                <w:sz w:val="22"/>
                <w:szCs w:val="22"/>
                <w:lang w:val="es-ES"/>
              </w:rPr>
            </w:pPr>
            <w:r w:rsidRPr="003D5D3A">
              <w:rPr>
                <w:rFonts w:ascii="Bodoni 72 Book" w:hAnsi="Bodoni 72 Book"/>
                <w:sz w:val="22"/>
                <w:szCs w:val="22"/>
                <w:lang w:val="es-ES"/>
              </w:rPr>
              <w:t>Recomendaciones</w:t>
            </w:r>
          </w:p>
        </w:tc>
      </w:tr>
      <w:tr w:rsidR="003D5D3A" w:rsidRPr="003D5D3A" w14:paraId="5E6968C9" w14:textId="77777777" w:rsidTr="003D5D3A">
        <w:trPr>
          <w:trHeight w:val="597"/>
        </w:trPr>
        <w:tc>
          <w:tcPr>
            <w:tcW w:w="3660" w:type="dxa"/>
            <w:shd w:val="clear" w:color="auto" w:fill="FFF1DA"/>
            <w:vAlign w:val="center"/>
          </w:tcPr>
          <w:p w14:paraId="7DCB8054" w14:textId="77777777" w:rsidR="003D5D3A" w:rsidRPr="003D5D3A" w:rsidRDefault="003D5D3A" w:rsidP="003D5D3A">
            <w:pPr>
              <w:rPr>
                <w:rFonts w:ascii="Avenir Next" w:hAnsi="Avenir Next"/>
                <w:sz w:val="20"/>
                <w:szCs w:val="20"/>
                <w:lang w:val="es-ES"/>
              </w:rPr>
            </w:pPr>
            <w:r w:rsidRPr="003D5D3A">
              <w:rPr>
                <w:rFonts w:ascii="Avenir Next" w:hAnsi="Avenir Next"/>
                <w:sz w:val="20"/>
                <w:szCs w:val="20"/>
                <w:lang w:val="es-ES"/>
              </w:rPr>
              <w:t>Contexto nacional y visión general de REDD+</w:t>
            </w:r>
          </w:p>
        </w:tc>
        <w:tc>
          <w:tcPr>
            <w:tcW w:w="4995" w:type="dxa"/>
          </w:tcPr>
          <w:p w14:paraId="030703EA" w14:textId="77777777" w:rsidR="003D5D3A" w:rsidRPr="003D5D3A" w:rsidRDefault="003D5D3A" w:rsidP="00CE0AF6">
            <w:pPr>
              <w:rPr>
                <w:rFonts w:ascii="Avenir Next" w:hAnsi="Avenir Next"/>
                <w:sz w:val="20"/>
                <w:szCs w:val="20"/>
                <w:lang w:val="es-ES"/>
              </w:rPr>
            </w:pPr>
          </w:p>
        </w:tc>
        <w:tc>
          <w:tcPr>
            <w:tcW w:w="5293" w:type="dxa"/>
          </w:tcPr>
          <w:p w14:paraId="3F2DE2FA" w14:textId="77777777" w:rsidR="003D5D3A" w:rsidRPr="003D5D3A" w:rsidRDefault="003D5D3A" w:rsidP="00CE0AF6">
            <w:pPr>
              <w:rPr>
                <w:rFonts w:ascii="Avenir Next" w:hAnsi="Avenir Next"/>
                <w:sz w:val="20"/>
                <w:szCs w:val="20"/>
                <w:lang w:val="es-ES"/>
              </w:rPr>
            </w:pPr>
          </w:p>
        </w:tc>
      </w:tr>
      <w:tr w:rsidR="003D5D3A" w:rsidRPr="003D5D3A" w14:paraId="6EBD87B1" w14:textId="77777777" w:rsidTr="003D5D3A">
        <w:trPr>
          <w:trHeight w:val="435"/>
        </w:trPr>
        <w:tc>
          <w:tcPr>
            <w:tcW w:w="3660" w:type="dxa"/>
            <w:shd w:val="clear" w:color="auto" w:fill="FFF1DA"/>
            <w:vAlign w:val="center"/>
          </w:tcPr>
          <w:p w14:paraId="0CE5E14E" w14:textId="77777777" w:rsidR="003D5D3A" w:rsidRPr="003D5D3A" w:rsidRDefault="003D5D3A" w:rsidP="003D5D3A">
            <w:pPr>
              <w:rPr>
                <w:rFonts w:ascii="Avenir Next" w:hAnsi="Avenir Next"/>
                <w:sz w:val="20"/>
                <w:szCs w:val="20"/>
                <w:lang w:val="es-ES"/>
              </w:rPr>
            </w:pPr>
            <w:r w:rsidRPr="003D5D3A">
              <w:rPr>
                <w:rFonts w:ascii="Avenir Next" w:hAnsi="Avenir Next"/>
                <w:sz w:val="20"/>
                <w:szCs w:val="20"/>
                <w:lang w:val="es-ES"/>
              </w:rPr>
              <w:t>Descripción de cada salvaguarda</w:t>
            </w:r>
          </w:p>
        </w:tc>
        <w:tc>
          <w:tcPr>
            <w:tcW w:w="4995" w:type="dxa"/>
          </w:tcPr>
          <w:p w14:paraId="6A013198" w14:textId="77777777" w:rsidR="003D5D3A" w:rsidRPr="003D5D3A" w:rsidRDefault="003D5D3A" w:rsidP="00CE0AF6">
            <w:pPr>
              <w:rPr>
                <w:rFonts w:ascii="Avenir Next" w:hAnsi="Avenir Next"/>
                <w:sz w:val="20"/>
                <w:szCs w:val="20"/>
                <w:lang w:val="es-ES"/>
              </w:rPr>
            </w:pPr>
          </w:p>
        </w:tc>
        <w:tc>
          <w:tcPr>
            <w:tcW w:w="5293" w:type="dxa"/>
          </w:tcPr>
          <w:p w14:paraId="4AD88044" w14:textId="77777777" w:rsidR="003D5D3A" w:rsidRPr="003D5D3A" w:rsidRDefault="003D5D3A" w:rsidP="00CE0AF6">
            <w:pPr>
              <w:spacing w:before="40" w:after="40"/>
              <w:rPr>
                <w:rFonts w:ascii="Avenir Next" w:hAnsi="Avenir Next" w:cs="Arial"/>
                <w:sz w:val="20"/>
                <w:szCs w:val="20"/>
                <w:lang w:val="es-ES"/>
              </w:rPr>
            </w:pPr>
          </w:p>
        </w:tc>
      </w:tr>
      <w:tr w:rsidR="003D5D3A" w:rsidRPr="003D5D3A" w14:paraId="6ED33F19" w14:textId="77777777" w:rsidTr="003D5D3A">
        <w:trPr>
          <w:trHeight w:val="534"/>
        </w:trPr>
        <w:tc>
          <w:tcPr>
            <w:tcW w:w="3660" w:type="dxa"/>
            <w:shd w:val="clear" w:color="auto" w:fill="FFF1DA"/>
            <w:vAlign w:val="center"/>
          </w:tcPr>
          <w:p w14:paraId="780B8D14" w14:textId="77777777" w:rsidR="003D5D3A" w:rsidRPr="003D5D3A" w:rsidRDefault="003D5D3A" w:rsidP="003D5D3A">
            <w:pPr>
              <w:rPr>
                <w:rFonts w:ascii="Avenir Next" w:hAnsi="Avenir Next"/>
                <w:sz w:val="20"/>
                <w:szCs w:val="20"/>
                <w:lang w:val="es-ES"/>
              </w:rPr>
            </w:pPr>
            <w:r w:rsidRPr="003D5D3A">
              <w:rPr>
                <w:rFonts w:ascii="Avenir Next" w:hAnsi="Avenir Next"/>
                <w:sz w:val="20"/>
                <w:szCs w:val="20"/>
                <w:lang w:val="es-ES"/>
              </w:rPr>
              <w:t>Conformidad con las salvaguardas</w:t>
            </w:r>
          </w:p>
        </w:tc>
        <w:tc>
          <w:tcPr>
            <w:tcW w:w="4995" w:type="dxa"/>
          </w:tcPr>
          <w:p w14:paraId="6E303B2A" w14:textId="77777777" w:rsidR="003D5D3A" w:rsidRPr="003D5D3A" w:rsidRDefault="003D5D3A" w:rsidP="00CE0AF6">
            <w:pPr>
              <w:rPr>
                <w:rFonts w:ascii="Avenir Next" w:hAnsi="Avenir Next"/>
                <w:sz w:val="20"/>
                <w:szCs w:val="20"/>
                <w:lang w:val="es-ES"/>
              </w:rPr>
            </w:pPr>
          </w:p>
        </w:tc>
        <w:tc>
          <w:tcPr>
            <w:tcW w:w="5293" w:type="dxa"/>
          </w:tcPr>
          <w:p w14:paraId="4B5AA0AF" w14:textId="77777777" w:rsidR="003D5D3A" w:rsidRPr="003D5D3A" w:rsidRDefault="003D5D3A" w:rsidP="00CE0AF6">
            <w:pPr>
              <w:rPr>
                <w:rFonts w:ascii="Avenir Next" w:hAnsi="Avenir Next"/>
                <w:sz w:val="20"/>
                <w:szCs w:val="20"/>
                <w:lang w:val="es-ES"/>
              </w:rPr>
            </w:pPr>
          </w:p>
        </w:tc>
      </w:tr>
      <w:tr w:rsidR="003D5D3A" w:rsidRPr="003D5D3A" w14:paraId="30B42BCD" w14:textId="77777777" w:rsidTr="003D5D3A">
        <w:trPr>
          <w:trHeight w:val="426"/>
        </w:trPr>
        <w:tc>
          <w:tcPr>
            <w:tcW w:w="3660" w:type="dxa"/>
            <w:shd w:val="clear" w:color="auto" w:fill="FFF1DA"/>
            <w:vAlign w:val="center"/>
          </w:tcPr>
          <w:p w14:paraId="3928A701" w14:textId="77777777" w:rsidR="003D5D3A" w:rsidRPr="003D5D3A" w:rsidRDefault="003D5D3A" w:rsidP="003D5D3A">
            <w:pPr>
              <w:rPr>
                <w:rFonts w:ascii="Avenir Next" w:hAnsi="Avenir Next"/>
                <w:sz w:val="20"/>
                <w:szCs w:val="20"/>
                <w:lang w:val="es-ES"/>
              </w:rPr>
            </w:pPr>
            <w:r w:rsidRPr="003D5D3A">
              <w:rPr>
                <w:rFonts w:ascii="Avenir Next" w:hAnsi="Avenir Next"/>
                <w:sz w:val="20"/>
                <w:szCs w:val="20"/>
                <w:lang w:val="es-ES"/>
              </w:rPr>
              <w:t>Participación de los interesados</w:t>
            </w:r>
          </w:p>
        </w:tc>
        <w:tc>
          <w:tcPr>
            <w:tcW w:w="4995" w:type="dxa"/>
          </w:tcPr>
          <w:p w14:paraId="679BB40B" w14:textId="77777777" w:rsidR="003D5D3A" w:rsidRPr="003D5D3A" w:rsidRDefault="003D5D3A" w:rsidP="00CE0AF6">
            <w:pPr>
              <w:rPr>
                <w:rFonts w:ascii="Avenir Next" w:hAnsi="Avenir Next"/>
                <w:sz w:val="20"/>
                <w:szCs w:val="20"/>
                <w:lang w:val="es-ES"/>
              </w:rPr>
            </w:pPr>
          </w:p>
        </w:tc>
        <w:tc>
          <w:tcPr>
            <w:tcW w:w="5293" w:type="dxa"/>
          </w:tcPr>
          <w:p w14:paraId="5B56EC4D" w14:textId="77777777" w:rsidR="003D5D3A" w:rsidRPr="003D5D3A" w:rsidRDefault="003D5D3A" w:rsidP="00CE0AF6">
            <w:pPr>
              <w:rPr>
                <w:rFonts w:ascii="Avenir Next" w:hAnsi="Avenir Next"/>
                <w:sz w:val="20"/>
                <w:szCs w:val="20"/>
                <w:lang w:val="es-ES"/>
              </w:rPr>
            </w:pPr>
          </w:p>
        </w:tc>
      </w:tr>
      <w:tr w:rsidR="003D5D3A" w:rsidRPr="003D5D3A" w14:paraId="62B5928C" w14:textId="77777777" w:rsidTr="003D5D3A">
        <w:trPr>
          <w:trHeight w:val="354"/>
        </w:trPr>
        <w:tc>
          <w:tcPr>
            <w:tcW w:w="3660" w:type="dxa"/>
            <w:shd w:val="clear" w:color="auto" w:fill="FFF1DA"/>
            <w:vAlign w:val="center"/>
          </w:tcPr>
          <w:p w14:paraId="0B012B8C" w14:textId="77777777" w:rsidR="003D5D3A" w:rsidRPr="003D5D3A" w:rsidRDefault="003D5D3A" w:rsidP="003D5D3A">
            <w:pPr>
              <w:rPr>
                <w:rFonts w:ascii="Avenir Next" w:hAnsi="Avenir Next"/>
                <w:sz w:val="20"/>
                <w:szCs w:val="20"/>
                <w:lang w:val="es-ES"/>
              </w:rPr>
            </w:pPr>
            <w:r w:rsidRPr="003D5D3A">
              <w:rPr>
                <w:rFonts w:ascii="Avenir Next" w:hAnsi="Avenir Next"/>
                <w:sz w:val="20"/>
                <w:szCs w:val="20"/>
                <w:lang w:val="es-ES"/>
              </w:rPr>
              <w:t xml:space="preserve">General </w:t>
            </w:r>
          </w:p>
        </w:tc>
        <w:tc>
          <w:tcPr>
            <w:tcW w:w="4995" w:type="dxa"/>
          </w:tcPr>
          <w:p w14:paraId="46F045B1" w14:textId="77777777" w:rsidR="003D5D3A" w:rsidRPr="003D5D3A" w:rsidRDefault="003D5D3A" w:rsidP="00CE0AF6">
            <w:pPr>
              <w:rPr>
                <w:rFonts w:ascii="Avenir Next" w:hAnsi="Avenir Next"/>
                <w:sz w:val="20"/>
                <w:szCs w:val="20"/>
                <w:lang w:val="es-ES"/>
              </w:rPr>
            </w:pPr>
          </w:p>
        </w:tc>
        <w:tc>
          <w:tcPr>
            <w:tcW w:w="5293" w:type="dxa"/>
          </w:tcPr>
          <w:p w14:paraId="0AAE7B1C" w14:textId="77777777" w:rsidR="003D5D3A" w:rsidRPr="003D5D3A" w:rsidRDefault="003D5D3A" w:rsidP="00CE0AF6">
            <w:pPr>
              <w:rPr>
                <w:rFonts w:ascii="Avenir Next" w:hAnsi="Avenir Next"/>
                <w:sz w:val="20"/>
                <w:szCs w:val="20"/>
                <w:lang w:val="es-ES"/>
              </w:rPr>
            </w:pPr>
          </w:p>
        </w:tc>
      </w:tr>
    </w:tbl>
    <w:p w14:paraId="104C00A5" w14:textId="4523182F" w:rsidR="00A355C3" w:rsidRPr="003D5D3A" w:rsidRDefault="00A355C3" w:rsidP="003D5D3A">
      <w:pPr>
        <w:spacing w:before="120" w:after="120" w:line="336" w:lineRule="auto"/>
        <w:rPr>
          <w:lang w:val="es-ES"/>
        </w:rPr>
      </w:pPr>
    </w:p>
    <w:sectPr w:rsidR="00A355C3" w:rsidRPr="003D5D3A" w:rsidSect="00480509">
      <w:pgSz w:w="16845" w:h="1191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859F4" w14:textId="77777777" w:rsidR="00F57F0E" w:rsidRDefault="00F57F0E" w:rsidP="003D5D3A">
      <w:r>
        <w:separator/>
      </w:r>
    </w:p>
  </w:endnote>
  <w:endnote w:type="continuationSeparator" w:id="0">
    <w:p w14:paraId="46398C6D" w14:textId="77777777" w:rsidR="00F57F0E" w:rsidRDefault="00F57F0E" w:rsidP="003D5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129AF4C-1110-4549-B11A-7B019A8E07BF}"/>
    <w:embedBold r:id="rId2" w:fontKey="{BECF5354-4EEC-A14D-A6C8-988522CACCA7}"/>
  </w:font>
  <w:font w:name="Symbol">
    <w:panose1 w:val="05050102010706020507"/>
    <w:charset w:val="02"/>
    <w:family w:val="decorative"/>
    <w:pitch w:val="variable"/>
    <w:sig w:usb0="00000003" w:usb1="10000000" w:usb2="00000000" w:usb3="00000000" w:csb0="80000001" w:csb1="00000000"/>
    <w:embedRegular r:id="rId3" w:fontKey="{767689EE-6482-F448-9F01-41BC2415C92F}"/>
  </w:font>
  <w:font w:name="Courier New">
    <w:panose1 w:val="02070309020205020404"/>
    <w:charset w:val="00"/>
    <w:family w:val="modern"/>
    <w:pitch w:val="fixed"/>
    <w:sig w:usb0="E0002EFF" w:usb1="C0007843" w:usb2="00000009" w:usb3="00000000" w:csb0="000001FF" w:csb1="00000000"/>
    <w:embedRegular r:id="rId4" w:fontKey="{9F86F7A9-090E-294B-B203-0E149EC701A2}"/>
  </w:font>
  <w:font w:name="Wingdings">
    <w:panose1 w:val="05000000000000000000"/>
    <w:charset w:val="4D"/>
    <w:family w:val="decorative"/>
    <w:pitch w:val="variable"/>
    <w:sig w:usb0="00000003" w:usb1="00000000" w:usb2="00000000" w:usb3="00000000" w:csb0="80000001" w:csb1="00000000"/>
    <w:embedRegular r:id="rId5" w:fontKey="{B13A1D4A-6271-8B47-820E-B07E60D2F032}"/>
  </w:font>
  <w:font w:name="Calibri">
    <w:panose1 w:val="020F0502020204030204"/>
    <w:charset w:val="00"/>
    <w:family w:val="swiss"/>
    <w:pitch w:val="variable"/>
    <w:sig w:usb0="E4002EFF" w:usb1="C200247B" w:usb2="00000009" w:usb3="00000000" w:csb0="000001FF" w:csb1="00000000"/>
    <w:embedRegular r:id="rId6" w:fontKey="{B9BF5E7F-9DFE-A94A-993B-ECE37A858D8D}"/>
    <w:embedBold r:id="rId7" w:fontKey="{1A322484-B09C-1B45-8ACA-52F34CD6509E}"/>
  </w:font>
  <w:font w:name="Bodoni 72 Book">
    <w:altName w:val="BODONI 72 BOOK"/>
    <w:panose1 w:val="00000400000000000000"/>
    <w:charset w:val="00"/>
    <w:family w:val="auto"/>
    <w:pitch w:val="variable"/>
    <w:sig w:usb0="00000003" w:usb1="00000000" w:usb2="00000000" w:usb3="00000000" w:csb0="00000001" w:csb1="00000000"/>
    <w:embedRegular r:id="rId8" w:fontKey="{019EEF6A-8719-1145-85CD-FFF514D355B0}"/>
  </w:font>
  <w:font w:name="Prata">
    <w:altName w:val="Calibri"/>
    <w:panose1 w:val="020B0604020202020204"/>
    <w:charset w:val="00"/>
    <w:family w:val="auto"/>
    <w:pitch w:val="default"/>
  </w:font>
  <w:font w:name="Avenir Next">
    <w:panose1 w:val="020B0503020202020204"/>
    <w:charset w:val="00"/>
    <w:family w:val="swiss"/>
    <w:pitch w:val="variable"/>
    <w:sig w:usb0="8000002F" w:usb1="5000204A" w:usb2="00000000" w:usb3="00000000" w:csb0="0000009B" w:csb1="00000000"/>
    <w:embedRegular r:id="rId10" w:fontKey="{EE6305C4-8779-7E4F-89D8-34730F478621}"/>
    <w:embedBold r:id="rId11" w:fontKey="{A951320A-E288-E04A-B30A-2C623585F46F}"/>
  </w:font>
  <w:font w:name="Montserrat">
    <w:panose1 w:val="00000500000000000000"/>
    <w:charset w:val="4D"/>
    <w:family w:val="auto"/>
    <w:pitch w:val="variable"/>
    <w:sig w:usb0="2000020F" w:usb1="00000003" w:usb2="00000000" w:usb3="00000000" w:csb0="00000197" w:csb1="00000000"/>
    <w:embedRegular r:id="rId12" w:fontKey="{C7DE6C85-AE9C-9949-BA88-B1C79ADC2AA3}"/>
  </w:font>
  <w:font w:name="Montserrat Bold">
    <w:panose1 w:val="020B0604020202020204"/>
    <w:charset w:val="00"/>
    <w:family w:val="auto"/>
    <w:pitch w:val="default"/>
  </w:font>
  <w:font w:name="IBM Plex Sans">
    <w:panose1 w:val="020B0503050203000203"/>
    <w:charset w:val="00"/>
    <w:family w:val="swiss"/>
    <w:pitch w:val="variable"/>
    <w:sig w:usb0="A00002EF" w:usb1="5000207B" w:usb2="00000000" w:usb3="00000000" w:csb0="0000019F" w:csb1="00000000"/>
    <w:embedRegular r:id="rId14" w:fontKey="{D940835D-0B25-EB47-98BF-CCF135F1F2B0}"/>
    <w:embedBold r:id="rId15" w:fontKey="{7CE60217-2C15-1447-BD2C-3634C92D0CB3}"/>
  </w:font>
  <w:font w:name="IBM Plex Sans Bold">
    <w:panose1 w:val="020B0604020202020204"/>
    <w:charset w:val="00"/>
    <w:family w:val="auto"/>
    <w:pitch w:val="default"/>
  </w:font>
  <w:font w:name="Avenir Next Ultra Light">
    <w:panose1 w:val="020B0203020202020204"/>
    <w:charset w:val="4D"/>
    <w:family w:val="swiss"/>
    <w:pitch w:val="variable"/>
    <w:sig w:usb0="800000AF" w:usb1="5000204A" w:usb2="00000000" w:usb3="00000000" w:csb0="0000009B" w:csb1="00000000"/>
    <w:embedBold r:id="rId17" w:fontKey="{F3C7B9BE-13D9-6C41-81E7-9F697D5E7178}"/>
  </w:font>
  <w:font w:name="Arial">
    <w:panose1 w:val="020B0604020202020204"/>
    <w:charset w:val="00"/>
    <w:family w:val="swiss"/>
    <w:pitch w:val="variable"/>
    <w:sig w:usb0="E0002EFF" w:usb1="C000785B" w:usb2="00000009" w:usb3="00000000" w:csb0="000001FF" w:csb1="00000000"/>
    <w:embedRegular r:id="rId18" w:fontKey="{BAD3E873-E452-D245-A4D7-7589E895F3B7}"/>
  </w:font>
  <w:font w:name="Calibri Light">
    <w:panose1 w:val="020F0302020204030204"/>
    <w:charset w:val="00"/>
    <w:family w:val="swiss"/>
    <w:pitch w:val="variable"/>
    <w:sig w:usb0="E0002AFF" w:usb1="C000247B" w:usb2="00000009" w:usb3="00000000" w:csb0="000001FF" w:csb1="00000000"/>
    <w:embedRegular r:id="rId19" w:fontKey="{92214444-4D88-904E-8008-6B3C266AF1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A214D" w14:textId="77777777" w:rsidR="00F57F0E" w:rsidRDefault="00F57F0E" w:rsidP="003D5D3A">
      <w:r>
        <w:separator/>
      </w:r>
    </w:p>
  </w:footnote>
  <w:footnote w:type="continuationSeparator" w:id="0">
    <w:p w14:paraId="6C77DE27" w14:textId="77777777" w:rsidR="00F57F0E" w:rsidRDefault="00F57F0E" w:rsidP="003D5D3A">
      <w:r>
        <w:continuationSeparator/>
      </w:r>
    </w:p>
  </w:footnote>
  <w:footnote w:id="1">
    <w:p w14:paraId="6E913F36" w14:textId="26281870" w:rsidR="003D5D3A" w:rsidRPr="006C4611" w:rsidRDefault="003D5D3A">
      <w:pPr>
        <w:pStyle w:val="FootnoteText"/>
        <w:rPr>
          <w:rFonts w:ascii="Avenir Next" w:hAnsi="Avenir Next"/>
          <w:sz w:val="14"/>
          <w:szCs w:val="14"/>
          <w:lang w:val="es-ES"/>
        </w:rPr>
      </w:pPr>
      <w:r w:rsidRPr="006C4611">
        <w:rPr>
          <w:rStyle w:val="FootnoteReference"/>
          <w:rFonts w:ascii="Avenir Next" w:hAnsi="Avenir Next"/>
          <w:sz w:val="14"/>
          <w:szCs w:val="14"/>
          <w:lang w:val="es-ES"/>
        </w:rPr>
        <w:footnoteRef/>
      </w:r>
      <w:r w:rsidRPr="006C4611">
        <w:rPr>
          <w:rFonts w:ascii="Avenir Next" w:hAnsi="Avenir Next"/>
          <w:sz w:val="14"/>
          <w:szCs w:val="14"/>
          <w:lang w:val="es-ES"/>
        </w:rPr>
        <w:t xml:space="preserve"> Decisión 9/CP de la CMNUCC, párrafo 4; Decisión 2/CP.17, párrafos 63 y 64; Decisión 12/CP.17 párrafos 3 y 4.</w:t>
      </w:r>
    </w:p>
  </w:footnote>
  <w:footnote w:id="2">
    <w:p w14:paraId="3BF9971D" w14:textId="264B078B" w:rsidR="003D5D3A" w:rsidRPr="006C4611" w:rsidRDefault="003D5D3A">
      <w:pPr>
        <w:pStyle w:val="FootnoteText"/>
        <w:rPr>
          <w:rFonts w:ascii="Avenir Next" w:hAnsi="Avenir Next"/>
          <w:sz w:val="14"/>
          <w:szCs w:val="14"/>
          <w:lang w:val="es-ES"/>
        </w:rPr>
      </w:pPr>
      <w:r w:rsidRPr="006C4611">
        <w:rPr>
          <w:rStyle w:val="FootnoteReference"/>
          <w:rFonts w:ascii="Avenir Next" w:hAnsi="Avenir Next"/>
          <w:sz w:val="14"/>
          <w:szCs w:val="14"/>
          <w:lang w:val="es-ES"/>
        </w:rPr>
        <w:footnoteRef/>
      </w:r>
      <w:r w:rsidRPr="006C4611">
        <w:rPr>
          <w:rFonts w:ascii="Avenir Next" w:hAnsi="Avenir Next"/>
          <w:sz w:val="14"/>
          <w:szCs w:val="14"/>
          <w:lang w:val="es-ES"/>
        </w:rPr>
        <w:t xml:space="preserve"> Decisión 17/CP.2 de la CMNUCC</w:t>
      </w:r>
      <w:proofErr w:type="gramStart"/>
      <w:r w:rsidRPr="006C4611">
        <w:rPr>
          <w:rFonts w:ascii="Avenir Next" w:hAnsi="Avenir Next"/>
          <w:sz w:val="14"/>
          <w:szCs w:val="14"/>
          <w:lang w:val="es-ES"/>
        </w:rPr>
        <w:t>. ,</w:t>
      </w:r>
      <w:proofErr w:type="gramEnd"/>
      <w:r w:rsidRPr="006C4611">
        <w:rPr>
          <w:rFonts w:ascii="Avenir Next" w:hAnsi="Avenir Next"/>
          <w:sz w:val="14"/>
          <w:szCs w:val="14"/>
          <w:lang w:val="es-ES"/>
        </w:rPr>
        <w:t xml:space="preserve"> requiere la participación plena y efectiva de las partes interesadas pertinentes, entre otros, los pueblos indígenas y las comunidades locales; al desarrollar e implementar estrategias o planes de acción nacionales, para abordar, entre otras cosas, las causas de la deforestación y la degradación forestal, las cuestiones de tenencia de la tierra, las cuestiones de gobernanza forestal, las consideraciones de género y las salvaguardas de la CMNUCC.</w:t>
      </w:r>
    </w:p>
  </w:footnote>
  <w:footnote w:id="3">
    <w:p w14:paraId="72B69A28" w14:textId="7B1724DB" w:rsidR="003D5D3A" w:rsidRPr="003D5D3A" w:rsidRDefault="003D5D3A">
      <w:pPr>
        <w:pStyle w:val="FootnoteText"/>
        <w:rPr>
          <w:lang w:val="en-GB"/>
        </w:rPr>
      </w:pPr>
      <w:r w:rsidRPr="006C4611">
        <w:rPr>
          <w:rStyle w:val="FootnoteReference"/>
          <w:rFonts w:ascii="Avenir Next" w:hAnsi="Avenir Next"/>
          <w:sz w:val="14"/>
          <w:szCs w:val="14"/>
          <w:lang w:val="es-ES"/>
        </w:rPr>
        <w:footnoteRef/>
      </w:r>
      <w:r w:rsidRPr="006C4611">
        <w:rPr>
          <w:rFonts w:ascii="Avenir Next" w:hAnsi="Avenir Next"/>
          <w:sz w:val="14"/>
          <w:szCs w:val="14"/>
          <w:lang w:val="es-ES"/>
        </w:rPr>
        <w:t xml:space="preserve"> Braña Varela, J., Lee, D., Rey </w:t>
      </w:r>
      <w:proofErr w:type="spellStart"/>
      <w:r w:rsidRPr="006C4611">
        <w:rPr>
          <w:rFonts w:ascii="Avenir Next" w:hAnsi="Avenir Next"/>
          <w:sz w:val="14"/>
          <w:szCs w:val="14"/>
          <w:lang w:val="es-ES"/>
        </w:rPr>
        <w:t>Christen</w:t>
      </w:r>
      <w:proofErr w:type="spellEnd"/>
      <w:r w:rsidRPr="006C4611">
        <w:rPr>
          <w:rFonts w:ascii="Avenir Next" w:hAnsi="Avenir Next"/>
          <w:sz w:val="14"/>
          <w:szCs w:val="14"/>
          <w:lang w:val="es-ES"/>
        </w:rPr>
        <w:t xml:space="preserve">, D. y </w:t>
      </w:r>
      <w:proofErr w:type="spellStart"/>
      <w:r w:rsidRPr="006C4611">
        <w:rPr>
          <w:rFonts w:ascii="Avenir Next" w:hAnsi="Avenir Next"/>
          <w:sz w:val="14"/>
          <w:szCs w:val="14"/>
          <w:lang w:val="es-ES"/>
        </w:rPr>
        <w:t>Swan</w:t>
      </w:r>
      <w:proofErr w:type="spellEnd"/>
      <w:r w:rsidRPr="006C4611">
        <w:rPr>
          <w:rFonts w:ascii="Avenir Next" w:hAnsi="Avenir Next"/>
          <w:sz w:val="14"/>
          <w:szCs w:val="14"/>
          <w:lang w:val="es-ES"/>
        </w:rPr>
        <w:t>, S. 2014. “Salvaguardas REDD+: consideraciones prácticas para desarrollar un resumen de información”. Preparado con el apoyo de la Iniciativa Internacional sobre Clima y Bosques del Gobierno de Noruega. Disponible en www.merid.org/reddsafeguards.</w:t>
      </w:r>
    </w:p>
  </w:footnote>
  <w:footnote w:id="4">
    <w:p w14:paraId="45988EFA" w14:textId="32A48F51" w:rsidR="003D5D3A" w:rsidRPr="006C4611" w:rsidRDefault="003D5D3A">
      <w:pPr>
        <w:pStyle w:val="FootnoteText"/>
        <w:rPr>
          <w:rFonts w:ascii="Avenir Next" w:hAnsi="Avenir Next"/>
          <w:sz w:val="14"/>
          <w:szCs w:val="14"/>
          <w:lang w:val="es-ES"/>
        </w:rPr>
      </w:pPr>
      <w:r w:rsidRPr="006C4611">
        <w:rPr>
          <w:rStyle w:val="FootnoteReference"/>
          <w:rFonts w:ascii="Avenir Next" w:hAnsi="Avenir Next"/>
          <w:sz w:val="14"/>
          <w:szCs w:val="14"/>
          <w:lang w:val="es-ES"/>
        </w:rPr>
        <w:footnoteRef/>
      </w:r>
      <w:r w:rsidRPr="006C4611">
        <w:rPr>
          <w:rFonts w:ascii="Avenir Next" w:hAnsi="Avenir Next"/>
          <w:sz w:val="14"/>
          <w:szCs w:val="14"/>
          <w:lang w:val="es-ES"/>
        </w:rPr>
        <w:t xml:space="preserve"> Decisión 12/CP17 de la CMNUCC</w:t>
      </w:r>
    </w:p>
  </w:footnote>
  <w:footnote w:id="5">
    <w:p w14:paraId="228603C3" w14:textId="7686702F" w:rsidR="003D5D3A" w:rsidRPr="006C4611" w:rsidRDefault="003D5D3A">
      <w:pPr>
        <w:pStyle w:val="FootnoteText"/>
        <w:rPr>
          <w:rFonts w:ascii="Avenir Next" w:hAnsi="Avenir Next"/>
          <w:sz w:val="14"/>
          <w:szCs w:val="14"/>
          <w:lang w:val="es-ES"/>
        </w:rPr>
      </w:pPr>
      <w:r w:rsidRPr="006C4611">
        <w:rPr>
          <w:rStyle w:val="FootnoteReference"/>
          <w:rFonts w:ascii="Avenir Next" w:hAnsi="Avenir Next"/>
          <w:sz w:val="14"/>
          <w:szCs w:val="14"/>
          <w:lang w:val="es-ES"/>
        </w:rPr>
        <w:footnoteRef/>
      </w:r>
      <w:r w:rsidRPr="006C4611">
        <w:rPr>
          <w:rFonts w:ascii="Avenir Next" w:hAnsi="Avenir Next"/>
          <w:sz w:val="14"/>
          <w:szCs w:val="14"/>
          <w:lang w:val="es-ES"/>
        </w:rPr>
        <w:t xml:space="preserve"> FCCC/SBSTA/2013/3/Add.1</w:t>
      </w:r>
    </w:p>
  </w:footnote>
  <w:footnote w:id="6">
    <w:p w14:paraId="5A344BE3" w14:textId="6518CBA2" w:rsidR="003D5D3A" w:rsidRPr="006C4611" w:rsidRDefault="003D5D3A">
      <w:pPr>
        <w:pStyle w:val="FootnoteText"/>
        <w:rPr>
          <w:rFonts w:ascii="Avenir Next" w:hAnsi="Avenir Next"/>
          <w:sz w:val="14"/>
          <w:szCs w:val="14"/>
          <w:lang w:val="es-ES"/>
        </w:rPr>
      </w:pPr>
      <w:r w:rsidRPr="006C4611">
        <w:rPr>
          <w:rStyle w:val="FootnoteReference"/>
          <w:rFonts w:ascii="Avenir Next" w:hAnsi="Avenir Next"/>
          <w:sz w:val="14"/>
          <w:szCs w:val="14"/>
          <w:lang w:val="es-ES"/>
        </w:rPr>
        <w:footnoteRef/>
      </w:r>
      <w:r w:rsidRPr="006C4611">
        <w:rPr>
          <w:rFonts w:ascii="Avenir Next" w:hAnsi="Avenir Next"/>
          <w:sz w:val="14"/>
          <w:szCs w:val="14"/>
          <w:lang w:val="es-ES"/>
        </w:rPr>
        <w:t xml:space="preserve"> Braña Varela, J., Lee, D., Rey </w:t>
      </w:r>
      <w:proofErr w:type="spellStart"/>
      <w:r w:rsidRPr="006C4611">
        <w:rPr>
          <w:rFonts w:ascii="Avenir Next" w:hAnsi="Avenir Next"/>
          <w:sz w:val="14"/>
          <w:szCs w:val="14"/>
          <w:lang w:val="es-ES"/>
        </w:rPr>
        <w:t>Christen</w:t>
      </w:r>
      <w:proofErr w:type="spellEnd"/>
      <w:r w:rsidRPr="006C4611">
        <w:rPr>
          <w:rFonts w:ascii="Avenir Next" w:hAnsi="Avenir Next"/>
          <w:sz w:val="14"/>
          <w:szCs w:val="14"/>
          <w:lang w:val="es-ES"/>
        </w:rPr>
        <w:t xml:space="preserve">, D. y </w:t>
      </w:r>
      <w:proofErr w:type="spellStart"/>
      <w:r w:rsidRPr="006C4611">
        <w:rPr>
          <w:rFonts w:ascii="Avenir Next" w:hAnsi="Avenir Next"/>
          <w:sz w:val="14"/>
          <w:szCs w:val="14"/>
          <w:lang w:val="es-ES"/>
        </w:rPr>
        <w:t>Swan</w:t>
      </w:r>
      <w:proofErr w:type="spellEnd"/>
      <w:r w:rsidRPr="006C4611">
        <w:rPr>
          <w:rFonts w:ascii="Avenir Next" w:hAnsi="Avenir Next"/>
          <w:sz w:val="14"/>
          <w:szCs w:val="14"/>
          <w:lang w:val="es-ES"/>
        </w:rPr>
        <w:t>, S. 2014. “Salvaguardas REDD+: consideraciones prácticas para desarrollar un resumen de información”. Preparado con el apoyo de la Iniciativa Internacional sobre Clima y Bosques del Gobierno de Noruega. Disponible en www.merid.org/reddsafeguards</w:t>
      </w:r>
    </w:p>
  </w:footnote>
  <w:footnote w:id="7">
    <w:p w14:paraId="3F609331" w14:textId="39E3481E" w:rsidR="003D5D3A" w:rsidRPr="003D5D3A" w:rsidRDefault="003D5D3A">
      <w:pPr>
        <w:pStyle w:val="FootnoteText"/>
        <w:rPr>
          <w:lang w:val="en-GB"/>
        </w:rPr>
      </w:pPr>
      <w:r w:rsidRPr="006C4611">
        <w:rPr>
          <w:rStyle w:val="FootnoteReference"/>
          <w:rFonts w:ascii="Avenir Next" w:hAnsi="Avenir Next"/>
          <w:sz w:val="14"/>
          <w:szCs w:val="14"/>
          <w:lang w:val="es-ES"/>
        </w:rPr>
        <w:footnoteRef/>
      </w:r>
      <w:r w:rsidRPr="006C4611">
        <w:rPr>
          <w:rFonts w:ascii="Avenir Next" w:hAnsi="Avenir Next"/>
          <w:sz w:val="14"/>
          <w:szCs w:val="14"/>
          <w:lang w:val="es-ES"/>
        </w:rPr>
        <w:t xml:space="preserve"> Resumen informativo del programa ONU-REDD, Resúmenes de información: experiencias iniciales y recomendaciones sobre informes internacionales de salvaguardas de REDD+. Disponible en: </w:t>
      </w:r>
      <w:hyperlink r:id="rId1" w:history="1">
        <w:r w:rsidRPr="006C4611">
          <w:rPr>
            <w:rStyle w:val="Hyperlink"/>
            <w:rFonts w:ascii="Avenir Next" w:hAnsi="Avenir Next"/>
            <w:sz w:val="14"/>
            <w:szCs w:val="14"/>
            <w:lang w:val="es-ES"/>
          </w:rPr>
          <w:t>https://www.un-redd.org/sites/default/files/2021-10/InfoBrief__Summaries_of_information_30Sep%20%28735777%29.pdf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7D2B"/>
    <w:multiLevelType w:val="hybridMultilevel"/>
    <w:tmpl w:val="80A2356C"/>
    <w:lvl w:ilvl="0" w:tplc="BD389820">
      <w:start w:val="1"/>
      <w:numFmt w:val="decimal"/>
      <w:lvlText w:val="%1."/>
      <w:lvlJc w:val="left"/>
      <w:pPr>
        <w:ind w:left="400" w:hanging="360"/>
      </w:pPr>
    </w:lvl>
    <w:lvl w:ilvl="1" w:tplc="A48E7CD0">
      <w:start w:val="1"/>
      <w:numFmt w:val="lowerLetter"/>
      <w:lvlText w:val="%2."/>
      <w:lvlJc w:val="left"/>
      <w:pPr>
        <w:ind w:left="800" w:hanging="360"/>
      </w:pPr>
    </w:lvl>
    <w:lvl w:ilvl="2" w:tplc="AC6AFC6E">
      <w:start w:val="1"/>
      <w:numFmt w:val="lowerRoman"/>
      <w:lvlText w:val="%3."/>
      <w:lvlJc w:val="right"/>
      <w:pPr>
        <w:ind w:left="1200" w:hanging="180"/>
      </w:pPr>
    </w:lvl>
    <w:lvl w:ilvl="3" w:tplc="C114D200">
      <w:start w:val="1"/>
      <w:numFmt w:val="decimal"/>
      <w:lvlText w:val="%4."/>
      <w:lvlJc w:val="left"/>
      <w:pPr>
        <w:ind w:left="1600" w:hanging="360"/>
      </w:pPr>
    </w:lvl>
    <w:lvl w:ilvl="4" w:tplc="DA407260">
      <w:start w:val="1"/>
      <w:numFmt w:val="lowerLetter"/>
      <w:lvlText w:val="%5."/>
      <w:lvlJc w:val="left"/>
      <w:pPr>
        <w:ind w:left="2000" w:hanging="360"/>
      </w:pPr>
    </w:lvl>
    <w:lvl w:ilvl="5" w:tplc="4748F16C">
      <w:start w:val="1"/>
      <w:numFmt w:val="lowerRoman"/>
      <w:lvlText w:val="%6."/>
      <w:lvlJc w:val="right"/>
      <w:pPr>
        <w:ind w:left="2400" w:hanging="180"/>
      </w:pPr>
    </w:lvl>
    <w:lvl w:ilvl="6" w:tplc="48D0B444">
      <w:start w:val="1"/>
      <w:numFmt w:val="decimal"/>
      <w:lvlText w:val="%7."/>
      <w:lvlJc w:val="left"/>
      <w:pPr>
        <w:ind w:left="2800" w:hanging="360"/>
      </w:pPr>
    </w:lvl>
    <w:lvl w:ilvl="7" w:tplc="2028151A">
      <w:start w:val="1"/>
      <w:numFmt w:val="lowerLetter"/>
      <w:lvlText w:val="%8."/>
      <w:lvlJc w:val="left"/>
      <w:pPr>
        <w:ind w:left="3200" w:hanging="360"/>
      </w:pPr>
    </w:lvl>
    <w:lvl w:ilvl="8" w:tplc="D2B275BC">
      <w:numFmt w:val="decimal"/>
      <w:lvlText w:val=""/>
      <w:lvlJc w:val="left"/>
    </w:lvl>
  </w:abstractNum>
  <w:abstractNum w:abstractNumId="1" w15:restartNumberingAfterBreak="0">
    <w:nsid w:val="0C154303"/>
    <w:multiLevelType w:val="hybridMultilevel"/>
    <w:tmpl w:val="0A4C7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263124"/>
    <w:multiLevelType w:val="hybridMultilevel"/>
    <w:tmpl w:val="4D2AA730"/>
    <w:lvl w:ilvl="0" w:tplc="680CFE7A">
      <w:start w:val="1"/>
      <w:numFmt w:val="decimal"/>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FE6A88"/>
    <w:multiLevelType w:val="hybridMultilevel"/>
    <w:tmpl w:val="7DE89096"/>
    <w:lvl w:ilvl="0" w:tplc="65443D56">
      <w:start w:val="1"/>
      <w:numFmt w:val="bullet"/>
      <w:lvlText w:val=""/>
      <w:lvlJc w:val="left"/>
      <w:pPr>
        <w:ind w:left="400" w:hanging="360"/>
      </w:pPr>
      <w:rPr>
        <w:rFonts w:ascii="Symbol" w:hAnsi="Symbol"/>
      </w:rPr>
    </w:lvl>
    <w:lvl w:ilvl="1" w:tplc="8C9813B4">
      <w:start w:val="1"/>
      <w:numFmt w:val="bullet"/>
      <w:lvlText w:val="o"/>
      <w:lvlJc w:val="left"/>
      <w:pPr>
        <w:ind w:left="800" w:hanging="360"/>
      </w:pPr>
      <w:rPr>
        <w:rFonts w:ascii="Courier New" w:hAnsi="Courier New"/>
      </w:rPr>
    </w:lvl>
    <w:lvl w:ilvl="2" w:tplc="41D60D1A">
      <w:start w:val="1"/>
      <w:numFmt w:val="bullet"/>
      <w:lvlText w:val=""/>
      <w:lvlJc w:val="left"/>
      <w:pPr>
        <w:ind w:left="1200" w:hanging="360"/>
      </w:pPr>
      <w:rPr>
        <w:rFonts w:ascii="Wingdings" w:hAnsi="Wingdings"/>
      </w:rPr>
    </w:lvl>
    <w:lvl w:ilvl="3" w:tplc="0EDEA3B2">
      <w:start w:val="1"/>
      <w:numFmt w:val="bullet"/>
      <w:lvlText w:val=""/>
      <w:lvlJc w:val="left"/>
      <w:pPr>
        <w:ind w:left="1600" w:hanging="360"/>
      </w:pPr>
      <w:rPr>
        <w:rFonts w:ascii="Symbol" w:hAnsi="Symbol"/>
      </w:rPr>
    </w:lvl>
    <w:lvl w:ilvl="4" w:tplc="7A2A05A8">
      <w:start w:val="1"/>
      <w:numFmt w:val="bullet"/>
      <w:lvlText w:val="o"/>
      <w:lvlJc w:val="left"/>
      <w:pPr>
        <w:ind w:left="2000" w:hanging="360"/>
      </w:pPr>
      <w:rPr>
        <w:rFonts w:ascii="Courier New" w:hAnsi="Courier New"/>
      </w:rPr>
    </w:lvl>
    <w:lvl w:ilvl="5" w:tplc="71844670">
      <w:start w:val="1"/>
      <w:numFmt w:val="bullet"/>
      <w:lvlText w:val=""/>
      <w:lvlJc w:val="left"/>
      <w:pPr>
        <w:ind w:left="2400" w:hanging="360"/>
      </w:pPr>
      <w:rPr>
        <w:rFonts w:ascii="Wingdings" w:hAnsi="Wingdings"/>
      </w:rPr>
    </w:lvl>
    <w:lvl w:ilvl="6" w:tplc="CD329FD8">
      <w:start w:val="1"/>
      <w:numFmt w:val="bullet"/>
      <w:lvlText w:val=""/>
      <w:lvlJc w:val="left"/>
      <w:pPr>
        <w:ind w:left="2800" w:hanging="360"/>
      </w:pPr>
      <w:rPr>
        <w:rFonts w:ascii="Symbol" w:hAnsi="Symbol"/>
      </w:rPr>
    </w:lvl>
    <w:lvl w:ilvl="7" w:tplc="91585F16">
      <w:start w:val="1"/>
      <w:numFmt w:val="bullet"/>
      <w:lvlText w:val="o"/>
      <w:lvlJc w:val="left"/>
      <w:pPr>
        <w:ind w:left="3200" w:hanging="360"/>
      </w:pPr>
      <w:rPr>
        <w:rFonts w:ascii="Courier New" w:hAnsi="Courier New"/>
      </w:rPr>
    </w:lvl>
    <w:lvl w:ilvl="8" w:tplc="251E65E6">
      <w:numFmt w:val="decimal"/>
      <w:lvlText w:val=""/>
      <w:lvlJc w:val="left"/>
    </w:lvl>
  </w:abstractNum>
  <w:abstractNum w:abstractNumId="4" w15:restartNumberingAfterBreak="0">
    <w:nsid w:val="1D395D85"/>
    <w:multiLevelType w:val="hybridMultilevel"/>
    <w:tmpl w:val="27B825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B961A3"/>
    <w:multiLevelType w:val="hybridMultilevel"/>
    <w:tmpl w:val="FAB46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8E7A29"/>
    <w:multiLevelType w:val="hybridMultilevel"/>
    <w:tmpl w:val="B0040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EC1FAF"/>
    <w:multiLevelType w:val="hybridMultilevel"/>
    <w:tmpl w:val="4796DC4C"/>
    <w:lvl w:ilvl="0" w:tplc="E2B0FEC2">
      <w:start w:val="1"/>
      <w:numFmt w:val="bullet"/>
      <w:lvlText w:val=""/>
      <w:lvlJc w:val="left"/>
      <w:pPr>
        <w:ind w:left="400" w:hanging="360"/>
      </w:pPr>
      <w:rPr>
        <w:rFonts w:ascii="Symbol" w:hAnsi="Symbol"/>
      </w:rPr>
    </w:lvl>
    <w:lvl w:ilvl="1" w:tplc="1684431E">
      <w:start w:val="1"/>
      <w:numFmt w:val="bullet"/>
      <w:lvlText w:val="o"/>
      <w:lvlJc w:val="left"/>
      <w:pPr>
        <w:ind w:left="800" w:hanging="360"/>
      </w:pPr>
      <w:rPr>
        <w:rFonts w:ascii="Courier New" w:hAnsi="Courier New"/>
      </w:rPr>
    </w:lvl>
    <w:lvl w:ilvl="2" w:tplc="41662FF6">
      <w:start w:val="1"/>
      <w:numFmt w:val="bullet"/>
      <w:lvlText w:val=""/>
      <w:lvlJc w:val="left"/>
      <w:pPr>
        <w:ind w:left="1200" w:hanging="360"/>
      </w:pPr>
      <w:rPr>
        <w:rFonts w:ascii="Wingdings" w:hAnsi="Wingdings"/>
      </w:rPr>
    </w:lvl>
    <w:lvl w:ilvl="3" w:tplc="7BF49F4C">
      <w:start w:val="1"/>
      <w:numFmt w:val="bullet"/>
      <w:lvlText w:val=""/>
      <w:lvlJc w:val="left"/>
      <w:pPr>
        <w:ind w:left="1600" w:hanging="360"/>
      </w:pPr>
      <w:rPr>
        <w:rFonts w:ascii="Symbol" w:hAnsi="Symbol"/>
      </w:rPr>
    </w:lvl>
    <w:lvl w:ilvl="4" w:tplc="935A5848">
      <w:start w:val="1"/>
      <w:numFmt w:val="bullet"/>
      <w:lvlText w:val="o"/>
      <w:lvlJc w:val="left"/>
      <w:pPr>
        <w:ind w:left="2000" w:hanging="360"/>
      </w:pPr>
      <w:rPr>
        <w:rFonts w:ascii="Courier New" w:hAnsi="Courier New"/>
      </w:rPr>
    </w:lvl>
    <w:lvl w:ilvl="5" w:tplc="55ECAE02">
      <w:start w:val="1"/>
      <w:numFmt w:val="bullet"/>
      <w:lvlText w:val=""/>
      <w:lvlJc w:val="left"/>
      <w:pPr>
        <w:ind w:left="2400" w:hanging="360"/>
      </w:pPr>
      <w:rPr>
        <w:rFonts w:ascii="Wingdings" w:hAnsi="Wingdings"/>
      </w:rPr>
    </w:lvl>
    <w:lvl w:ilvl="6" w:tplc="F1E43A4C">
      <w:start w:val="1"/>
      <w:numFmt w:val="bullet"/>
      <w:lvlText w:val=""/>
      <w:lvlJc w:val="left"/>
      <w:pPr>
        <w:ind w:left="2800" w:hanging="360"/>
      </w:pPr>
      <w:rPr>
        <w:rFonts w:ascii="Symbol" w:hAnsi="Symbol"/>
      </w:rPr>
    </w:lvl>
    <w:lvl w:ilvl="7" w:tplc="C690375E">
      <w:start w:val="1"/>
      <w:numFmt w:val="bullet"/>
      <w:lvlText w:val="o"/>
      <w:lvlJc w:val="left"/>
      <w:pPr>
        <w:ind w:left="3200" w:hanging="360"/>
      </w:pPr>
      <w:rPr>
        <w:rFonts w:ascii="Courier New" w:hAnsi="Courier New"/>
      </w:rPr>
    </w:lvl>
    <w:lvl w:ilvl="8" w:tplc="5B4617F4">
      <w:numFmt w:val="decimal"/>
      <w:lvlText w:val=""/>
      <w:lvlJc w:val="left"/>
    </w:lvl>
  </w:abstractNum>
  <w:abstractNum w:abstractNumId="8" w15:restartNumberingAfterBreak="0">
    <w:nsid w:val="46F02F3C"/>
    <w:multiLevelType w:val="hybridMultilevel"/>
    <w:tmpl w:val="8796054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 w15:restartNumberingAfterBreak="0">
    <w:nsid w:val="5198715C"/>
    <w:multiLevelType w:val="hybridMultilevel"/>
    <w:tmpl w:val="4880C1B2"/>
    <w:lvl w:ilvl="0" w:tplc="6F6E50C2">
      <w:start w:val="1"/>
      <w:numFmt w:val="decimal"/>
      <w:lvlText w:val="%1."/>
      <w:lvlJc w:val="left"/>
      <w:pPr>
        <w:ind w:left="400" w:hanging="360"/>
      </w:pPr>
    </w:lvl>
    <w:lvl w:ilvl="1" w:tplc="893653F0">
      <w:start w:val="1"/>
      <w:numFmt w:val="lowerLetter"/>
      <w:lvlText w:val="%2."/>
      <w:lvlJc w:val="left"/>
      <w:pPr>
        <w:ind w:left="800" w:hanging="360"/>
      </w:pPr>
    </w:lvl>
    <w:lvl w:ilvl="2" w:tplc="9D286CCA">
      <w:start w:val="1"/>
      <w:numFmt w:val="lowerRoman"/>
      <w:lvlText w:val="%3."/>
      <w:lvlJc w:val="right"/>
      <w:pPr>
        <w:ind w:left="1200" w:hanging="180"/>
      </w:pPr>
    </w:lvl>
    <w:lvl w:ilvl="3" w:tplc="0978A962">
      <w:start w:val="1"/>
      <w:numFmt w:val="decimal"/>
      <w:lvlText w:val="%4."/>
      <w:lvlJc w:val="left"/>
      <w:pPr>
        <w:ind w:left="1600" w:hanging="360"/>
      </w:pPr>
    </w:lvl>
    <w:lvl w:ilvl="4" w:tplc="BDFAC9EA">
      <w:start w:val="1"/>
      <w:numFmt w:val="lowerLetter"/>
      <w:lvlText w:val="%5."/>
      <w:lvlJc w:val="left"/>
      <w:pPr>
        <w:ind w:left="2000" w:hanging="360"/>
      </w:pPr>
    </w:lvl>
    <w:lvl w:ilvl="5" w:tplc="B130003A">
      <w:start w:val="1"/>
      <w:numFmt w:val="lowerRoman"/>
      <w:lvlText w:val="%6."/>
      <w:lvlJc w:val="right"/>
      <w:pPr>
        <w:ind w:left="2400" w:hanging="180"/>
      </w:pPr>
    </w:lvl>
    <w:lvl w:ilvl="6" w:tplc="EF70307A">
      <w:start w:val="1"/>
      <w:numFmt w:val="decimal"/>
      <w:lvlText w:val="%7."/>
      <w:lvlJc w:val="left"/>
      <w:pPr>
        <w:ind w:left="2800" w:hanging="360"/>
      </w:pPr>
    </w:lvl>
    <w:lvl w:ilvl="7" w:tplc="01F8C9E8">
      <w:start w:val="1"/>
      <w:numFmt w:val="lowerLetter"/>
      <w:lvlText w:val="%8."/>
      <w:lvlJc w:val="left"/>
      <w:pPr>
        <w:ind w:left="3200" w:hanging="360"/>
      </w:pPr>
    </w:lvl>
    <w:lvl w:ilvl="8" w:tplc="7CEE36EA">
      <w:numFmt w:val="decimal"/>
      <w:lvlText w:val=""/>
      <w:lvlJc w:val="left"/>
    </w:lvl>
  </w:abstractNum>
  <w:abstractNum w:abstractNumId="10" w15:restartNumberingAfterBreak="0">
    <w:nsid w:val="5BDE17A2"/>
    <w:multiLevelType w:val="hybridMultilevel"/>
    <w:tmpl w:val="CB2CDFBE"/>
    <w:lvl w:ilvl="0" w:tplc="095EAD9E">
      <w:start w:val="1"/>
      <w:numFmt w:val="bullet"/>
      <w:lvlText w:val=""/>
      <w:lvlJc w:val="left"/>
      <w:pPr>
        <w:ind w:left="400" w:hanging="360"/>
      </w:pPr>
      <w:rPr>
        <w:rFonts w:ascii="Symbol" w:hAnsi="Symbol"/>
      </w:rPr>
    </w:lvl>
    <w:lvl w:ilvl="1" w:tplc="157CBA8E">
      <w:start w:val="1"/>
      <w:numFmt w:val="bullet"/>
      <w:lvlText w:val="o"/>
      <w:lvlJc w:val="left"/>
      <w:pPr>
        <w:ind w:left="800" w:hanging="360"/>
      </w:pPr>
      <w:rPr>
        <w:rFonts w:ascii="Courier New" w:hAnsi="Courier New"/>
      </w:rPr>
    </w:lvl>
    <w:lvl w:ilvl="2" w:tplc="53C2CEE4">
      <w:start w:val="1"/>
      <w:numFmt w:val="bullet"/>
      <w:lvlText w:val=""/>
      <w:lvlJc w:val="left"/>
      <w:pPr>
        <w:ind w:left="1200" w:hanging="360"/>
      </w:pPr>
      <w:rPr>
        <w:rFonts w:ascii="Wingdings" w:hAnsi="Wingdings"/>
      </w:rPr>
    </w:lvl>
    <w:lvl w:ilvl="3" w:tplc="BCE8B614">
      <w:start w:val="1"/>
      <w:numFmt w:val="bullet"/>
      <w:lvlText w:val=""/>
      <w:lvlJc w:val="left"/>
      <w:pPr>
        <w:ind w:left="1600" w:hanging="360"/>
      </w:pPr>
      <w:rPr>
        <w:rFonts w:ascii="Symbol" w:hAnsi="Symbol"/>
      </w:rPr>
    </w:lvl>
    <w:lvl w:ilvl="4" w:tplc="D08626E8">
      <w:start w:val="1"/>
      <w:numFmt w:val="bullet"/>
      <w:lvlText w:val="o"/>
      <w:lvlJc w:val="left"/>
      <w:pPr>
        <w:ind w:left="2000" w:hanging="360"/>
      </w:pPr>
      <w:rPr>
        <w:rFonts w:ascii="Courier New" w:hAnsi="Courier New"/>
      </w:rPr>
    </w:lvl>
    <w:lvl w:ilvl="5" w:tplc="081696B2">
      <w:start w:val="1"/>
      <w:numFmt w:val="bullet"/>
      <w:lvlText w:val=""/>
      <w:lvlJc w:val="left"/>
      <w:pPr>
        <w:ind w:left="2400" w:hanging="360"/>
      </w:pPr>
      <w:rPr>
        <w:rFonts w:ascii="Wingdings" w:hAnsi="Wingdings"/>
      </w:rPr>
    </w:lvl>
    <w:lvl w:ilvl="6" w:tplc="AB12797C">
      <w:start w:val="1"/>
      <w:numFmt w:val="bullet"/>
      <w:lvlText w:val=""/>
      <w:lvlJc w:val="left"/>
      <w:pPr>
        <w:ind w:left="2800" w:hanging="360"/>
      </w:pPr>
      <w:rPr>
        <w:rFonts w:ascii="Symbol" w:hAnsi="Symbol"/>
      </w:rPr>
    </w:lvl>
    <w:lvl w:ilvl="7" w:tplc="0BBEE47A">
      <w:start w:val="1"/>
      <w:numFmt w:val="bullet"/>
      <w:lvlText w:val="o"/>
      <w:lvlJc w:val="left"/>
      <w:pPr>
        <w:ind w:left="3200" w:hanging="360"/>
      </w:pPr>
      <w:rPr>
        <w:rFonts w:ascii="Courier New" w:hAnsi="Courier New"/>
      </w:rPr>
    </w:lvl>
    <w:lvl w:ilvl="8" w:tplc="B4F495E6">
      <w:numFmt w:val="decimal"/>
      <w:lvlText w:val=""/>
      <w:lvlJc w:val="left"/>
    </w:lvl>
  </w:abstractNum>
  <w:abstractNum w:abstractNumId="11" w15:restartNumberingAfterBreak="0">
    <w:nsid w:val="5E4972A5"/>
    <w:multiLevelType w:val="hybridMultilevel"/>
    <w:tmpl w:val="CD827494"/>
    <w:lvl w:ilvl="0" w:tplc="E0F226B0">
      <w:start w:val="1"/>
      <w:numFmt w:val="bullet"/>
      <w:lvlText w:val=""/>
      <w:lvlJc w:val="left"/>
      <w:pPr>
        <w:ind w:left="400" w:hanging="360"/>
      </w:pPr>
      <w:rPr>
        <w:rFonts w:ascii="Symbol" w:hAnsi="Symbol"/>
      </w:rPr>
    </w:lvl>
    <w:lvl w:ilvl="1" w:tplc="AE06A15A">
      <w:start w:val="1"/>
      <w:numFmt w:val="bullet"/>
      <w:lvlText w:val="o"/>
      <w:lvlJc w:val="left"/>
      <w:pPr>
        <w:ind w:left="800" w:hanging="360"/>
      </w:pPr>
      <w:rPr>
        <w:rFonts w:ascii="Courier New" w:hAnsi="Courier New"/>
      </w:rPr>
    </w:lvl>
    <w:lvl w:ilvl="2" w:tplc="88AA5FFA">
      <w:start w:val="1"/>
      <w:numFmt w:val="bullet"/>
      <w:lvlText w:val=""/>
      <w:lvlJc w:val="left"/>
      <w:pPr>
        <w:ind w:left="1200" w:hanging="360"/>
      </w:pPr>
      <w:rPr>
        <w:rFonts w:ascii="Wingdings" w:hAnsi="Wingdings"/>
      </w:rPr>
    </w:lvl>
    <w:lvl w:ilvl="3" w:tplc="7FFEB7EA">
      <w:start w:val="1"/>
      <w:numFmt w:val="bullet"/>
      <w:lvlText w:val=""/>
      <w:lvlJc w:val="left"/>
      <w:pPr>
        <w:ind w:left="1600" w:hanging="360"/>
      </w:pPr>
      <w:rPr>
        <w:rFonts w:ascii="Symbol" w:hAnsi="Symbol"/>
      </w:rPr>
    </w:lvl>
    <w:lvl w:ilvl="4" w:tplc="1808640E">
      <w:start w:val="1"/>
      <w:numFmt w:val="bullet"/>
      <w:lvlText w:val="o"/>
      <w:lvlJc w:val="left"/>
      <w:pPr>
        <w:ind w:left="2000" w:hanging="360"/>
      </w:pPr>
      <w:rPr>
        <w:rFonts w:ascii="Courier New" w:hAnsi="Courier New"/>
      </w:rPr>
    </w:lvl>
    <w:lvl w:ilvl="5" w:tplc="0B60A3A8">
      <w:start w:val="1"/>
      <w:numFmt w:val="bullet"/>
      <w:lvlText w:val=""/>
      <w:lvlJc w:val="left"/>
      <w:pPr>
        <w:ind w:left="2400" w:hanging="360"/>
      </w:pPr>
      <w:rPr>
        <w:rFonts w:ascii="Wingdings" w:hAnsi="Wingdings"/>
      </w:rPr>
    </w:lvl>
    <w:lvl w:ilvl="6" w:tplc="E50A685C">
      <w:start w:val="1"/>
      <w:numFmt w:val="bullet"/>
      <w:lvlText w:val=""/>
      <w:lvlJc w:val="left"/>
      <w:pPr>
        <w:ind w:left="2800" w:hanging="360"/>
      </w:pPr>
      <w:rPr>
        <w:rFonts w:ascii="Symbol" w:hAnsi="Symbol"/>
      </w:rPr>
    </w:lvl>
    <w:lvl w:ilvl="7" w:tplc="1C3222EA">
      <w:start w:val="1"/>
      <w:numFmt w:val="bullet"/>
      <w:lvlText w:val="o"/>
      <w:lvlJc w:val="left"/>
      <w:pPr>
        <w:ind w:left="3200" w:hanging="360"/>
      </w:pPr>
      <w:rPr>
        <w:rFonts w:ascii="Courier New" w:hAnsi="Courier New"/>
      </w:rPr>
    </w:lvl>
    <w:lvl w:ilvl="8" w:tplc="DCA8BD00">
      <w:numFmt w:val="decimal"/>
      <w:lvlText w:val=""/>
      <w:lvlJc w:val="left"/>
    </w:lvl>
  </w:abstractNum>
  <w:abstractNum w:abstractNumId="12" w15:restartNumberingAfterBreak="0">
    <w:nsid w:val="64E163D5"/>
    <w:multiLevelType w:val="hybridMultilevel"/>
    <w:tmpl w:val="5C280400"/>
    <w:lvl w:ilvl="0" w:tplc="CD249200">
      <w:start w:val="1"/>
      <w:numFmt w:val="bullet"/>
      <w:lvlText w:val=""/>
      <w:lvlJc w:val="left"/>
      <w:pPr>
        <w:ind w:left="400" w:hanging="360"/>
      </w:pPr>
      <w:rPr>
        <w:rFonts w:ascii="Symbol" w:hAnsi="Symbol"/>
      </w:rPr>
    </w:lvl>
    <w:lvl w:ilvl="1" w:tplc="9210024E">
      <w:start w:val="1"/>
      <w:numFmt w:val="bullet"/>
      <w:lvlText w:val="o"/>
      <w:lvlJc w:val="left"/>
      <w:pPr>
        <w:ind w:left="800" w:hanging="360"/>
      </w:pPr>
      <w:rPr>
        <w:rFonts w:ascii="Courier New" w:hAnsi="Courier New"/>
      </w:rPr>
    </w:lvl>
    <w:lvl w:ilvl="2" w:tplc="E2FCA31E">
      <w:start w:val="1"/>
      <w:numFmt w:val="bullet"/>
      <w:lvlText w:val=""/>
      <w:lvlJc w:val="left"/>
      <w:pPr>
        <w:ind w:left="1200" w:hanging="360"/>
      </w:pPr>
      <w:rPr>
        <w:rFonts w:ascii="Wingdings" w:hAnsi="Wingdings"/>
      </w:rPr>
    </w:lvl>
    <w:lvl w:ilvl="3" w:tplc="2DC444A4">
      <w:start w:val="1"/>
      <w:numFmt w:val="bullet"/>
      <w:lvlText w:val=""/>
      <w:lvlJc w:val="left"/>
      <w:pPr>
        <w:ind w:left="1600" w:hanging="360"/>
      </w:pPr>
      <w:rPr>
        <w:rFonts w:ascii="Symbol" w:hAnsi="Symbol"/>
      </w:rPr>
    </w:lvl>
    <w:lvl w:ilvl="4" w:tplc="DCF65566">
      <w:start w:val="1"/>
      <w:numFmt w:val="bullet"/>
      <w:lvlText w:val="o"/>
      <w:lvlJc w:val="left"/>
      <w:pPr>
        <w:ind w:left="2000" w:hanging="360"/>
      </w:pPr>
      <w:rPr>
        <w:rFonts w:ascii="Courier New" w:hAnsi="Courier New"/>
      </w:rPr>
    </w:lvl>
    <w:lvl w:ilvl="5" w:tplc="BB822388">
      <w:start w:val="1"/>
      <w:numFmt w:val="bullet"/>
      <w:lvlText w:val=""/>
      <w:lvlJc w:val="left"/>
      <w:pPr>
        <w:ind w:left="2400" w:hanging="360"/>
      </w:pPr>
      <w:rPr>
        <w:rFonts w:ascii="Wingdings" w:hAnsi="Wingdings"/>
      </w:rPr>
    </w:lvl>
    <w:lvl w:ilvl="6" w:tplc="A2BEFA78">
      <w:start w:val="1"/>
      <w:numFmt w:val="bullet"/>
      <w:lvlText w:val=""/>
      <w:lvlJc w:val="left"/>
      <w:pPr>
        <w:ind w:left="2800" w:hanging="360"/>
      </w:pPr>
      <w:rPr>
        <w:rFonts w:ascii="Symbol" w:hAnsi="Symbol"/>
      </w:rPr>
    </w:lvl>
    <w:lvl w:ilvl="7" w:tplc="80DCF586">
      <w:start w:val="1"/>
      <w:numFmt w:val="bullet"/>
      <w:lvlText w:val="o"/>
      <w:lvlJc w:val="left"/>
      <w:pPr>
        <w:ind w:left="3200" w:hanging="360"/>
      </w:pPr>
      <w:rPr>
        <w:rFonts w:ascii="Courier New" w:hAnsi="Courier New"/>
      </w:rPr>
    </w:lvl>
    <w:lvl w:ilvl="8" w:tplc="D8724148">
      <w:numFmt w:val="decimal"/>
      <w:lvlText w:val=""/>
      <w:lvlJc w:val="left"/>
    </w:lvl>
  </w:abstractNum>
  <w:abstractNum w:abstractNumId="13" w15:restartNumberingAfterBreak="0">
    <w:nsid w:val="680D114F"/>
    <w:multiLevelType w:val="hybridMultilevel"/>
    <w:tmpl w:val="759671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B51550"/>
    <w:multiLevelType w:val="hybridMultilevel"/>
    <w:tmpl w:val="A056A38C"/>
    <w:lvl w:ilvl="0" w:tplc="99C6D214">
      <w:start w:val="1"/>
      <w:numFmt w:val="bullet"/>
      <w:lvlText w:val=""/>
      <w:lvlJc w:val="left"/>
      <w:pPr>
        <w:ind w:left="400" w:hanging="360"/>
      </w:pPr>
      <w:rPr>
        <w:rFonts w:ascii="Symbol" w:hAnsi="Symbol"/>
      </w:rPr>
    </w:lvl>
    <w:lvl w:ilvl="1" w:tplc="FB86FBD6">
      <w:start w:val="1"/>
      <w:numFmt w:val="bullet"/>
      <w:lvlText w:val="o"/>
      <w:lvlJc w:val="left"/>
      <w:pPr>
        <w:ind w:left="800" w:hanging="360"/>
      </w:pPr>
      <w:rPr>
        <w:rFonts w:ascii="Courier New" w:hAnsi="Courier New"/>
      </w:rPr>
    </w:lvl>
    <w:lvl w:ilvl="2" w:tplc="0A1A0CA6">
      <w:start w:val="1"/>
      <w:numFmt w:val="bullet"/>
      <w:lvlText w:val=""/>
      <w:lvlJc w:val="left"/>
      <w:pPr>
        <w:ind w:left="1200" w:hanging="360"/>
      </w:pPr>
      <w:rPr>
        <w:rFonts w:ascii="Wingdings" w:hAnsi="Wingdings"/>
      </w:rPr>
    </w:lvl>
    <w:lvl w:ilvl="3" w:tplc="C2CC96BC">
      <w:start w:val="1"/>
      <w:numFmt w:val="bullet"/>
      <w:lvlText w:val=""/>
      <w:lvlJc w:val="left"/>
      <w:pPr>
        <w:ind w:left="1600" w:hanging="360"/>
      </w:pPr>
      <w:rPr>
        <w:rFonts w:ascii="Symbol" w:hAnsi="Symbol"/>
      </w:rPr>
    </w:lvl>
    <w:lvl w:ilvl="4" w:tplc="2132CD06">
      <w:start w:val="1"/>
      <w:numFmt w:val="bullet"/>
      <w:lvlText w:val="o"/>
      <w:lvlJc w:val="left"/>
      <w:pPr>
        <w:ind w:left="2000" w:hanging="360"/>
      </w:pPr>
      <w:rPr>
        <w:rFonts w:ascii="Courier New" w:hAnsi="Courier New"/>
      </w:rPr>
    </w:lvl>
    <w:lvl w:ilvl="5" w:tplc="DECA6E08">
      <w:start w:val="1"/>
      <w:numFmt w:val="bullet"/>
      <w:lvlText w:val=""/>
      <w:lvlJc w:val="left"/>
      <w:pPr>
        <w:ind w:left="2400" w:hanging="360"/>
      </w:pPr>
      <w:rPr>
        <w:rFonts w:ascii="Wingdings" w:hAnsi="Wingdings"/>
      </w:rPr>
    </w:lvl>
    <w:lvl w:ilvl="6" w:tplc="B560D61A">
      <w:start w:val="1"/>
      <w:numFmt w:val="bullet"/>
      <w:lvlText w:val=""/>
      <w:lvlJc w:val="left"/>
      <w:pPr>
        <w:ind w:left="2800" w:hanging="360"/>
      </w:pPr>
      <w:rPr>
        <w:rFonts w:ascii="Symbol" w:hAnsi="Symbol"/>
      </w:rPr>
    </w:lvl>
    <w:lvl w:ilvl="7" w:tplc="5B60CAC6">
      <w:start w:val="1"/>
      <w:numFmt w:val="bullet"/>
      <w:lvlText w:val="o"/>
      <w:lvlJc w:val="left"/>
      <w:pPr>
        <w:ind w:left="3200" w:hanging="360"/>
      </w:pPr>
      <w:rPr>
        <w:rFonts w:ascii="Courier New" w:hAnsi="Courier New"/>
      </w:rPr>
    </w:lvl>
    <w:lvl w:ilvl="8" w:tplc="C9869E8A">
      <w:numFmt w:val="decimal"/>
      <w:lvlText w:val=""/>
      <w:lvlJc w:val="left"/>
    </w:lvl>
  </w:abstractNum>
  <w:abstractNum w:abstractNumId="15" w15:restartNumberingAfterBreak="0">
    <w:nsid w:val="714E1933"/>
    <w:multiLevelType w:val="hybridMultilevel"/>
    <w:tmpl w:val="E36AF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9557A3"/>
    <w:multiLevelType w:val="hybridMultilevel"/>
    <w:tmpl w:val="B060BE9E"/>
    <w:lvl w:ilvl="0" w:tplc="65E6989E">
      <w:start w:val="1"/>
      <w:numFmt w:val="bullet"/>
      <w:lvlText w:val=""/>
      <w:lvlJc w:val="left"/>
      <w:pPr>
        <w:ind w:left="400" w:hanging="360"/>
      </w:pPr>
      <w:rPr>
        <w:rFonts w:ascii="Symbol" w:hAnsi="Symbol"/>
      </w:rPr>
    </w:lvl>
    <w:lvl w:ilvl="1" w:tplc="6AF0FF30">
      <w:start w:val="1"/>
      <w:numFmt w:val="bullet"/>
      <w:lvlText w:val="o"/>
      <w:lvlJc w:val="left"/>
      <w:pPr>
        <w:ind w:left="800" w:hanging="360"/>
      </w:pPr>
      <w:rPr>
        <w:rFonts w:ascii="Courier New" w:hAnsi="Courier New"/>
      </w:rPr>
    </w:lvl>
    <w:lvl w:ilvl="2" w:tplc="7590779C">
      <w:start w:val="1"/>
      <w:numFmt w:val="bullet"/>
      <w:lvlText w:val=""/>
      <w:lvlJc w:val="left"/>
      <w:pPr>
        <w:ind w:left="1200" w:hanging="360"/>
      </w:pPr>
      <w:rPr>
        <w:rFonts w:ascii="Wingdings" w:hAnsi="Wingdings"/>
      </w:rPr>
    </w:lvl>
    <w:lvl w:ilvl="3" w:tplc="41B410BA">
      <w:start w:val="1"/>
      <w:numFmt w:val="bullet"/>
      <w:lvlText w:val=""/>
      <w:lvlJc w:val="left"/>
      <w:pPr>
        <w:ind w:left="1600" w:hanging="360"/>
      </w:pPr>
      <w:rPr>
        <w:rFonts w:ascii="Symbol" w:hAnsi="Symbol"/>
      </w:rPr>
    </w:lvl>
    <w:lvl w:ilvl="4" w:tplc="EEB890BC">
      <w:start w:val="1"/>
      <w:numFmt w:val="bullet"/>
      <w:lvlText w:val="o"/>
      <w:lvlJc w:val="left"/>
      <w:pPr>
        <w:ind w:left="2000" w:hanging="360"/>
      </w:pPr>
      <w:rPr>
        <w:rFonts w:ascii="Courier New" w:hAnsi="Courier New"/>
      </w:rPr>
    </w:lvl>
    <w:lvl w:ilvl="5" w:tplc="0E1A4CCC">
      <w:start w:val="1"/>
      <w:numFmt w:val="bullet"/>
      <w:lvlText w:val=""/>
      <w:lvlJc w:val="left"/>
      <w:pPr>
        <w:ind w:left="2400" w:hanging="360"/>
      </w:pPr>
      <w:rPr>
        <w:rFonts w:ascii="Wingdings" w:hAnsi="Wingdings"/>
      </w:rPr>
    </w:lvl>
    <w:lvl w:ilvl="6" w:tplc="B236417A">
      <w:start w:val="1"/>
      <w:numFmt w:val="bullet"/>
      <w:lvlText w:val=""/>
      <w:lvlJc w:val="left"/>
      <w:pPr>
        <w:ind w:left="2800" w:hanging="360"/>
      </w:pPr>
      <w:rPr>
        <w:rFonts w:ascii="Symbol" w:hAnsi="Symbol"/>
      </w:rPr>
    </w:lvl>
    <w:lvl w:ilvl="7" w:tplc="7110DDCE">
      <w:start w:val="1"/>
      <w:numFmt w:val="bullet"/>
      <w:lvlText w:val="o"/>
      <w:lvlJc w:val="left"/>
      <w:pPr>
        <w:ind w:left="3200" w:hanging="360"/>
      </w:pPr>
      <w:rPr>
        <w:rFonts w:ascii="Courier New" w:hAnsi="Courier New"/>
      </w:rPr>
    </w:lvl>
    <w:lvl w:ilvl="8" w:tplc="C29C6F80">
      <w:numFmt w:val="decimal"/>
      <w:lvlText w:val=""/>
      <w:lvlJc w:val="left"/>
    </w:lvl>
  </w:abstractNum>
  <w:abstractNum w:abstractNumId="17" w15:restartNumberingAfterBreak="0">
    <w:nsid w:val="7D341501"/>
    <w:multiLevelType w:val="hybridMultilevel"/>
    <w:tmpl w:val="E052696A"/>
    <w:lvl w:ilvl="0" w:tplc="6354E5A8">
      <w:start w:val="1"/>
      <w:numFmt w:val="bullet"/>
      <w:lvlText w:val=""/>
      <w:lvlJc w:val="left"/>
      <w:pPr>
        <w:ind w:left="400" w:hanging="360"/>
      </w:pPr>
      <w:rPr>
        <w:rFonts w:ascii="Symbol" w:hAnsi="Symbol"/>
      </w:rPr>
    </w:lvl>
    <w:lvl w:ilvl="1" w:tplc="F3629AAC">
      <w:start w:val="1"/>
      <w:numFmt w:val="bullet"/>
      <w:lvlText w:val="o"/>
      <w:lvlJc w:val="left"/>
      <w:pPr>
        <w:ind w:left="800" w:hanging="360"/>
      </w:pPr>
      <w:rPr>
        <w:rFonts w:ascii="Courier New" w:hAnsi="Courier New"/>
      </w:rPr>
    </w:lvl>
    <w:lvl w:ilvl="2" w:tplc="3F7A82AA">
      <w:start w:val="1"/>
      <w:numFmt w:val="bullet"/>
      <w:lvlText w:val=""/>
      <w:lvlJc w:val="left"/>
      <w:pPr>
        <w:ind w:left="1200" w:hanging="360"/>
      </w:pPr>
      <w:rPr>
        <w:rFonts w:ascii="Wingdings" w:hAnsi="Wingdings"/>
      </w:rPr>
    </w:lvl>
    <w:lvl w:ilvl="3" w:tplc="42D07890">
      <w:start w:val="1"/>
      <w:numFmt w:val="bullet"/>
      <w:lvlText w:val=""/>
      <w:lvlJc w:val="left"/>
      <w:pPr>
        <w:ind w:left="1600" w:hanging="360"/>
      </w:pPr>
      <w:rPr>
        <w:rFonts w:ascii="Symbol" w:hAnsi="Symbol"/>
      </w:rPr>
    </w:lvl>
    <w:lvl w:ilvl="4" w:tplc="9E40A170">
      <w:start w:val="1"/>
      <w:numFmt w:val="bullet"/>
      <w:lvlText w:val="o"/>
      <w:lvlJc w:val="left"/>
      <w:pPr>
        <w:ind w:left="2000" w:hanging="360"/>
      </w:pPr>
      <w:rPr>
        <w:rFonts w:ascii="Courier New" w:hAnsi="Courier New"/>
      </w:rPr>
    </w:lvl>
    <w:lvl w:ilvl="5" w:tplc="EDF44CA6">
      <w:start w:val="1"/>
      <w:numFmt w:val="bullet"/>
      <w:lvlText w:val=""/>
      <w:lvlJc w:val="left"/>
      <w:pPr>
        <w:ind w:left="2400" w:hanging="360"/>
      </w:pPr>
      <w:rPr>
        <w:rFonts w:ascii="Wingdings" w:hAnsi="Wingdings"/>
      </w:rPr>
    </w:lvl>
    <w:lvl w:ilvl="6" w:tplc="E79841D2">
      <w:start w:val="1"/>
      <w:numFmt w:val="bullet"/>
      <w:lvlText w:val=""/>
      <w:lvlJc w:val="left"/>
      <w:pPr>
        <w:ind w:left="2800" w:hanging="360"/>
      </w:pPr>
      <w:rPr>
        <w:rFonts w:ascii="Symbol" w:hAnsi="Symbol"/>
      </w:rPr>
    </w:lvl>
    <w:lvl w:ilvl="7" w:tplc="605C2D4C">
      <w:start w:val="1"/>
      <w:numFmt w:val="bullet"/>
      <w:lvlText w:val="o"/>
      <w:lvlJc w:val="left"/>
      <w:pPr>
        <w:ind w:left="3200" w:hanging="360"/>
      </w:pPr>
      <w:rPr>
        <w:rFonts w:ascii="Courier New" w:hAnsi="Courier New"/>
      </w:rPr>
    </w:lvl>
    <w:lvl w:ilvl="8" w:tplc="091A8320">
      <w:numFmt w:val="decimal"/>
      <w:lvlText w:val=""/>
      <w:lvlJc w:val="left"/>
    </w:lvl>
  </w:abstractNum>
  <w:num w:numId="1" w16cid:durableId="1921983120">
    <w:abstractNumId w:val="3"/>
  </w:num>
  <w:num w:numId="2" w16cid:durableId="875047159">
    <w:abstractNumId w:val="9"/>
  </w:num>
  <w:num w:numId="3" w16cid:durableId="88355190">
    <w:abstractNumId w:val="11"/>
  </w:num>
  <w:num w:numId="4" w16cid:durableId="948076399">
    <w:abstractNumId w:val="0"/>
  </w:num>
  <w:num w:numId="5" w16cid:durableId="1046416997">
    <w:abstractNumId w:val="10"/>
  </w:num>
  <w:num w:numId="6" w16cid:durableId="1503548435">
    <w:abstractNumId w:val="14"/>
  </w:num>
  <w:num w:numId="7" w16cid:durableId="1046372321">
    <w:abstractNumId w:val="17"/>
  </w:num>
  <w:num w:numId="8" w16cid:durableId="1254628151">
    <w:abstractNumId w:val="16"/>
  </w:num>
  <w:num w:numId="9" w16cid:durableId="455299966">
    <w:abstractNumId w:val="12"/>
  </w:num>
  <w:num w:numId="10" w16cid:durableId="524174023">
    <w:abstractNumId w:val="7"/>
  </w:num>
  <w:num w:numId="11" w16cid:durableId="895362182">
    <w:abstractNumId w:val="15"/>
  </w:num>
  <w:num w:numId="12" w16cid:durableId="1363097280">
    <w:abstractNumId w:val="4"/>
  </w:num>
  <w:num w:numId="13" w16cid:durableId="900022648">
    <w:abstractNumId w:val="13"/>
  </w:num>
  <w:num w:numId="14" w16cid:durableId="2099484">
    <w:abstractNumId w:val="5"/>
  </w:num>
  <w:num w:numId="15" w16cid:durableId="37776802">
    <w:abstractNumId w:val="6"/>
  </w:num>
  <w:num w:numId="16" w16cid:durableId="1895308963">
    <w:abstractNumId w:val="1"/>
  </w:num>
  <w:num w:numId="17" w16cid:durableId="1223102427">
    <w:abstractNumId w:val="2"/>
  </w:num>
  <w:num w:numId="18" w16cid:durableId="7027935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355C3"/>
    <w:rsid w:val="003D5D3A"/>
    <w:rsid w:val="00480509"/>
    <w:rsid w:val="006250E2"/>
    <w:rsid w:val="006C4611"/>
    <w:rsid w:val="008B1EBA"/>
    <w:rsid w:val="00A0544A"/>
    <w:rsid w:val="00A355C3"/>
    <w:rsid w:val="00DF736E"/>
    <w:rsid w:val="00F57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3CDDBC"/>
  <w15:docId w15:val="{5493313D-FF8E-9A4C-8629-8155C7FD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D5D3A"/>
    <w:rPr>
      <w:sz w:val="20"/>
      <w:szCs w:val="20"/>
    </w:rPr>
  </w:style>
  <w:style w:type="character" w:customStyle="1" w:styleId="FootnoteTextChar">
    <w:name w:val="Footnote Text Char"/>
    <w:basedOn w:val="DefaultParagraphFont"/>
    <w:link w:val="FootnoteText"/>
    <w:uiPriority w:val="99"/>
    <w:semiHidden/>
    <w:rsid w:val="003D5D3A"/>
    <w:rPr>
      <w:sz w:val="20"/>
      <w:szCs w:val="20"/>
    </w:rPr>
  </w:style>
  <w:style w:type="character" w:styleId="FootnoteReference">
    <w:name w:val="footnote reference"/>
    <w:basedOn w:val="DefaultParagraphFont"/>
    <w:uiPriority w:val="99"/>
    <w:semiHidden/>
    <w:unhideWhenUsed/>
    <w:rsid w:val="003D5D3A"/>
    <w:rPr>
      <w:vertAlign w:val="superscript"/>
    </w:rPr>
  </w:style>
  <w:style w:type="paragraph" w:styleId="ListParagraph">
    <w:name w:val="List Paragraph"/>
    <w:basedOn w:val="Normal"/>
    <w:link w:val="ListParagraphChar"/>
    <w:uiPriority w:val="34"/>
    <w:qFormat/>
    <w:rsid w:val="003D5D3A"/>
    <w:pPr>
      <w:ind w:left="720"/>
      <w:contextualSpacing/>
    </w:pPr>
  </w:style>
  <w:style w:type="character" w:styleId="Hyperlink">
    <w:name w:val="Hyperlink"/>
    <w:basedOn w:val="DefaultParagraphFont"/>
    <w:uiPriority w:val="99"/>
    <w:unhideWhenUsed/>
    <w:rsid w:val="003D5D3A"/>
    <w:rPr>
      <w:color w:val="0563C1" w:themeColor="hyperlink"/>
      <w:u w:val="single"/>
    </w:rPr>
  </w:style>
  <w:style w:type="table" w:styleId="TableGrid">
    <w:name w:val="Table Grid"/>
    <w:basedOn w:val="TableNormal"/>
    <w:uiPriority w:val="39"/>
    <w:rsid w:val="003D5D3A"/>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3D5D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un-redd.org/sites/default/files/2021-10/InfoBrief__Summaries_of_information_30Sep%20%28735777%2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1445</Words>
  <Characters>8243</Characters>
  <Application>Microsoft Office Word</Application>
  <DocSecurity>0</DocSecurity>
  <Lines>68</Lines>
  <Paragraphs>19</Paragraphs>
  <ScaleCrop>false</ScaleCrop>
  <Company/>
  <LinksUpToDate>false</LinksUpToDate>
  <CharactersWithSpaces>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Carla Rey Christen</cp:lastModifiedBy>
  <cp:revision>4</cp:revision>
  <dcterms:created xsi:type="dcterms:W3CDTF">2024-06-02T15:22:00Z</dcterms:created>
  <dcterms:modified xsi:type="dcterms:W3CDTF">2024-07-12T14:22:00Z</dcterms:modified>
</cp:coreProperties>
</file>