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563E3" w14:textId="77777777" w:rsidR="002211FC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1DA875" wp14:editId="17D440D6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1" name="Drawing 0" descr="ad55e876f4b74a39ebd63078e73280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d55e876f4b74a39ebd63078e73280b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5E74A" w14:textId="4E2E7712" w:rsidR="002211FC" w:rsidRPr="00943F41" w:rsidRDefault="003A0AAD">
      <w:pPr>
        <w:spacing w:before="120" w:after="120" w:line="336" w:lineRule="auto"/>
        <w:rPr>
          <w:rFonts w:ascii="Bodoni 72 Book" w:hAnsi="Bodoni 72 Book"/>
          <w:lang w:val="es-ES"/>
        </w:rPr>
      </w:pPr>
      <w:r w:rsidRPr="00943F41">
        <w:rPr>
          <w:rFonts w:ascii="Bodoni 72 Book" w:eastAsia="Prata" w:hAnsi="Bodoni 72 Book" w:cs="Prata"/>
          <w:color w:val="1D1D1B"/>
          <w:sz w:val="64"/>
          <w:szCs w:val="64"/>
          <w:lang w:val="es-ES"/>
        </w:rPr>
        <w:t>Objetivos y alcance</w:t>
      </w:r>
    </w:p>
    <w:p w14:paraId="67E6C40B" w14:textId="77777777" w:rsidR="002211FC" w:rsidRDefault="002211FC">
      <w:pPr>
        <w:pBdr>
          <w:bottom w:val="single" w:sz="6" w:space="0" w:color="1D1D1B"/>
        </w:pBdr>
        <w:spacing w:before="120" w:after="120" w:line="0" w:lineRule="auto"/>
      </w:pPr>
    </w:p>
    <w:p w14:paraId="44074A50" w14:textId="77777777" w:rsidR="003A0AAD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Esta herramienta tiene como objetivo ofrecer un enfoque colaborativo y sólido para preparar una hoja de ruta de cumplimiento de salvaguardas jurisdiccionales de REDD+ (J-REDD+). Los objetivos específicos y el alcance de este informe de plantilla de hoja de ruta son:   </w:t>
      </w:r>
    </w:p>
    <w:p w14:paraId="2E13B555" w14:textId="2757C691" w:rsidR="003A0AAD" w:rsidRPr="003A0AAD" w:rsidRDefault="00000000" w:rsidP="003A0AAD">
      <w:pPr>
        <w:pStyle w:val="ListParagraph"/>
        <w:numPr>
          <w:ilvl w:val="0"/>
          <w:numId w:val="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>Garantizar que se cumplan todos los requisitos mínimos de salvaguarda del Marco de Varsovia para REDD+ (</w:t>
      </w:r>
      <w:r w:rsidR="003A0AAD"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>WFR)</w:t>
      </w:r>
      <w:r w:rsidR="003A0AAD" w:rsidRPr="003A0AAD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es-ES"/>
        </w:rPr>
        <w:footnoteReference w:id="1"/>
      </w:r>
      <w:r w:rsidR="003A0AAD" w:rsidRPr="003A0AAD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es-ES"/>
        </w:rPr>
        <w:footnoteReference w:id="2"/>
      </w: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. Los resultados de la Herramienta 1 completada servirán para informar este aspecto de la hoja de ruta. </w:t>
      </w:r>
    </w:p>
    <w:p w14:paraId="45E186BA" w14:textId="77777777" w:rsidR="003A0AAD" w:rsidRPr="003A0AAD" w:rsidRDefault="00000000" w:rsidP="003A0AAD">
      <w:pPr>
        <w:pStyle w:val="ListParagraph"/>
        <w:numPr>
          <w:ilvl w:val="0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>Abordar cualquier brecha o deficiencia en relación con cada uno de los requisitos mínimos de salvaguardia del WFR, que fueron evaluados a través de este conjunto de herramientas. Los resultados de las Herramientas 2 a 7 completadas servirán para informar este aspecto de la hoja de ruta.</w:t>
      </w:r>
    </w:p>
    <w:p w14:paraId="26B9C046" w14:textId="77777777" w:rsidR="00DB4FA4" w:rsidRDefault="00000000" w:rsidP="00DB4FA4">
      <w:pPr>
        <w:pStyle w:val="ListParagraph"/>
        <w:numPr>
          <w:ilvl w:val="0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Identificar un plan claro, operativo y viable para ambos aspectos anteriores, en términos de: </w:t>
      </w:r>
    </w:p>
    <w:p w14:paraId="3FA0B0AA" w14:textId="34F499B7" w:rsidR="003A0AAD" w:rsidRPr="00DB4FA4" w:rsidRDefault="00000000" w:rsidP="00DB4FA4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DB4FA4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Tareas y actividades específicas que deben realizarse, </w:t>
      </w:r>
    </w:p>
    <w:p w14:paraId="08882E91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Grupos/plataformas de partes interesadas que deben participar/consultarse en la ejecución de las tareas y actividades, </w:t>
      </w:r>
    </w:p>
    <w:p w14:paraId="38584D45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Los procesos participativos necesarios para llevar a cabo las tareas y actividades, </w:t>
      </w:r>
    </w:p>
    <w:p w14:paraId="74D77F6C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La experiencia y otros requisitos necesarios para realizar las tareas y actividades, </w:t>
      </w:r>
    </w:p>
    <w:p w14:paraId="40F749B8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lastRenderedPageBreak/>
        <w:t xml:space="preserve">Los plazos estimados para la ejecución de las tareas y actividades, </w:t>
      </w:r>
    </w:p>
    <w:p w14:paraId="140B61ED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El presupuesto estimado para la ejecución de las tareas y actividades, y </w:t>
      </w:r>
    </w:p>
    <w:p w14:paraId="423EF83F" w14:textId="21855B46" w:rsidR="002211FC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La organización general y el desarrollo de capacidades deben garantizar la implementación duradera de estos elementos de salvaguarda. </w:t>
      </w:r>
    </w:p>
    <w:p w14:paraId="488FD936" w14:textId="24F7A89E" w:rsidR="002211FC" w:rsidRPr="00DB4FA4" w:rsidRDefault="003A0AAD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>Los usuarios también deben consultar el “Marco del kit de herramientas para la evaluación de la conformidad de las salvaguardas jurisdiccionales de REDD+” para obtener orientación sobre el proceso participativo para preparar esta hoja de ruta.</w:t>
      </w:r>
    </w:p>
    <w:p w14:paraId="518CB6B8" w14:textId="0B76144D" w:rsidR="002211FC" w:rsidRPr="003A0AAD" w:rsidRDefault="003A0AAD">
      <w:pPr>
        <w:spacing w:before="120" w:after="120" w:line="336" w:lineRule="auto"/>
        <w:rPr>
          <w:rFonts w:ascii="Bodoni 72 Book" w:hAnsi="Bodoni 72 Book"/>
          <w:lang w:val="es-ES"/>
        </w:rPr>
      </w:pPr>
      <w:r w:rsidRPr="003A0AAD">
        <w:rPr>
          <w:rFonts w:ascii="Bodoni 72 Book" w:eastAsia="Prata" w:hAnsi="Bodoni 72 Book" w:cs="Prata"/>
          <w:color w:val="1D1D1B"/>
          <w:sz w:val="64"/>
          <w:szCs w:val="64"/>
          <w:lang w:val="es-ES"/>
        </w:rPr>
        <w:t>¿Cómo utilizar esta herramienta?</w:t>
      </w:r>
    </w:p>
    <w:tbl>
      <w:tblPr>
        <w:tblW w:w="9030" w:type="dxa"/>
        <w:tblInd w:w="180" w:type="dxa"/>
        <w:tblBorders>
          <w:top w:val="single" w:sz="6" w:space="0" w:color="1D1D1A"/>
          <w:left w:val="single" w:sz="6" w:space="0" w:color="1D1D1A"/>
          <w:bottom w:val="single" w:sz="6" w:space="0" w:color="1D1D1A"/>
          <w:right w:val="single" w:sz="6" w:space="0" w:color="1D1D1A"/>
          <w:insideH w:val="single" w:sz="6" w:space="0" w:color="1D1D1A"/>
          <w:insideV w:val="single" w:sz="6" w:space="0" w:color="1D1D1A"/>
        </w:tblBorders>
        <w:shd w:val="clear" w:color="auto" w:fill="FFFFFF" w:themeFill="background1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2211FC" w:rsidRPr="00DB4FA4" w14:paraId="60CE3359" w14:textId="77777777" w:rsidTr="00DB4FA4">
        <w:tc>
          <w:tcPr>
            <w:tcW w:w="9030" w:type="dxa"/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2575B5" w14:textId="77777777" w:rsidR="00DB4FA4" w:rsidRDefault="00000000">
            <w:pPr>
              <w:spacing w:before="120" w:after="120" w:line="336" w:lineRule="auto"/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Esta herramienta está dividida en siete (7) secciones, y en cada sección, se guiará a los usuarios para que identifiquen un plan claro, operativo y viable para abordar cualquier brecha y deficiencia. </w:t>
            </w:r>
          </w:p>
          <w:p w14:paraId="4491533E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hAnsi="Avenir Next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1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en la preparación de un plan para cualquier elemento de salvaguarda que falte, según los resultados de la Herramienta 1. </w:t>
            </w:r>
          </w:p>
          <w:p w14:paraId="3F29F596" w14:textId="47BF6118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2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>: guía a los usuarios para abordar cualquier brecha o deficiencia en relación con el sistema de información de salvaguardas (SIS), según los resultados de la Herramienta 2</w:t>
            </w:r>
            <w:r w:rsidR="00DB4FA4"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.</w:t>
            </w:r>
          </w:p>
          <w:p w14:paraId="226E8443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3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los acuerdos de gobernanza del programa J-REDD+ que garantizan la aplicación de las salvaguardas REDD+ de la CMNUCC, según los resultados de la Herramienta 3. </w:t>
            </w:r>
          </w:p>
          <w:p w14:paraId="4A3017F4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4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el plan o sistema de distribución de ingresos de REDD+, según los resultados de la Herramienta 4. </w:t>
            </w:r>
          </w:p>
          <w:p w14:paraId="08C5781C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5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los mecanismos de atención a quejas y reclamaciones (GRM), según los resultados de la Herramienta 5. </w:t>
            </w:r>
          </w:p>
          <w:p w14:paraId="162E399D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6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los enfoques participativos del programa J-REDD+, según los resultados de la Herramienta 6. </w:t>
            </w:r>
          </w:p>
          <w:p w14:paraId="1100A532" w14:textId="2551C3A9" w:rsidR="002211FC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7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el resumen de información (SOI), según los resultados de la Herramienta 7. </w:t>
            </w:r>
          </w:p>
        </w:tc>
      </w:tr>
    </w:tbl>
    <w:p w14:paraId="4888D0FC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sectPr w:rsidR="00DB4FA4" w:rsidSect="00A07252">
          <w:pgSz w:w="11910" w:h="16845"/>
          <w:pgMar w:top="1440" w:right="1440" w:bottom="1440" w:left="1440" w:header="720" w:footer="720" w:gutter="0"/>
          <w:cols w:space="720"/>
        </w:sectPr>
      </w:pPr>
    </w:p>
    <w:p w14:paraId="0800F210" w14:textId="79CE3976" w:rsidR="002211FC" w:rsidRPr="00DB4FA4" w:rsidRDefault="003A0AAD">
      <w:pPr>
        <w:spacing w:before="120" w:after="120" w:line="336" w:lineRule="auto"/>
        <w:rPr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>Sección 1 - Elementos de salvaguarda faltantes en el WFR</w:t>
      </w:r>
    </w:p>
    <w:p w14:paraId="2752FBB9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7F769483" w14:textId="77777777" w:rsidR="00DB4FA4" w:rsidRPr="00731AA0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731AA0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654DFB27" w14:textId="77777777" w:rsid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En alineación con los requisitos mínimos del WFR, todos los programas J-REDD+ deben contar con los siguientes elementos: </w:t>
      </w:r>
    </w:p>
    <w:p w14:paraId="39D9DAC5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SIS</w:t>
      </w:r>
      <w:r w:rsidR="003A0AAD">
        <w:rPr>
          <w:rStyle w:val="FootnoteReference"/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footnoteReference w:id="3"/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Los programas J-REDD+ deben establecer un sistema para proporcionar información sobre cómo se están abordando y respetando las siete salvaguardas de la CMNUCC en todas las fases de implementación de las actividades de REDD+, y que debe ser coherente con las orientaciones de la decisión 12/CP de la CMNUCC. 17. </w:t>
      </w:r>
    </w:p>
    <w:p w14:paraId="5B2D83DA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Arreglos de gobernanza del programa J-REDD+ que garantizan la aplicación de las salvaguardas REDD+ de la CMNUCC.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Las actividades REDD+, independientemente de su tipo de fuente de financiamiento, deben implementarse de tal manera que sean consistentes con las salvaguardas REDD+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4"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 </w:t>
      </w:r>
    </w:p>
    <w:p w14:paraId="77B58280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Plan o sistema de distribución de ingresos de REDD+.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En relación con el elemento '2', la adopción de un plan o sistema de distribución de ingresos de REDD+ se considera un aspecto clave de las salvaguardas de la CMNUCC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‘b’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5"/>
      </w:r>
      <w:r w:rsidR="003A0AAD"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y ‘c’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6"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15DAA7EF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GRM.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En relación con el elemento “2”, la disponibilidad de GRM adecuados se considera un aspecto clave de la salvaguarda de la CMNUCC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‘b’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7"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2C7DD3B3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Enfoques participativos del programa J-REDD+.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En conexión con el elemento ‘2’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8"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, y en respuesta a la decisión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9"/>
      </w:r>
      <w:r w:rsidR="003A0AAD"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 la CMNUCC, un aspecto clave para los programas J-REDD+ es garantizar la participación plena y efectiva de todas las partes interesadas en su diseño e implementación. </w:t>
      </w:r>
    </w:p>
    <w:p w14:paraId="2100F2D2" w14:textId="1ACC58F8" w:rsidR="002211FC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SOI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Para recibir pagos basados ​​en resultados, los programas J-REDD+ deben presentar su SOI (o informe de salvaguardas subnacional equivalente) más reciente que demuestre cómo se han abordado y respetado las salvaguardas. </w:t>
      </w:r>
    </w:p>
    <w:p w14:paraId="3C701C49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Plan de trabajo  </w:t>
      </w:r>
    </w:p>
    <w:p w14:paraId="15115441" w14:textId="7126A4E3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1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cuáles de los elementos anteriores estaban en su lugar y cuáles faltaban. Con base en esta información, los usuarios deben completar la siguiente plantilla de informe. </w:t>
      </w:r>
    </w:p>
    <w:p w14:paraId="6F76A7CD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4D056480" w14:textId="77777777" w:rsidR="00DB4FA4" w:rsidRP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1 (Elemento de salvaguarda faltante): para que los usuarios identifiquen e inserten qué elemento falta; consulte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1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17E89399" w14:textId="77777777" w:rsidR="00DB4FA4" w:rsidRP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y clave a realizar. Estos pueden incluir, entre otros: </w:t>
      </w:r>
    </w:p>
    <w:p w14:paraId="242A37E1" w14:textId="77777777" w:rsidR="00DB4FA4" w:rsidRPr="00DB4FA4" w:rsidRDefault="00000000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regulaciones. </w:t>
      </w:r>
    </w:p>
    <w:p w14:paraId="5C9F5273" w14:textId="77777777" w:rsidR="00DB4FA4" w:rsidRPr="00DB4FA4" w:rsidRDefault="00000000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Arreglos institucionales, como la creación o el fortalecimiento de plataformas de múltiples partes interesadas. </w:t>
      </w:r>
    </w:p>
    <w:p w14:paraId="5ADA55A0" w14:textId="77777777" w:rsidR="00DB4FA4" w:rsidRPr="00DB4FA4" w:rsidRDefault="00000000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lineamientos, indicadores, procesos y/o procedimientos </w:t>
      </w:r>
    </w:p>
    <w:p w14:paraId="4809E8C5" w14:textId="77777777" w:rsidR="00DB4FA4" w:rsidRPr="00DB4FA4" w:rsidRDefault="00000000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Desarrollo de capacidades y sensibilización, incluidas actividades de formación. </w:t>
      </w:r>
    </w:p>
    <w:p w14:paraId="294F2930" w14:textId="77777777" w:rsidR="00DB4FA4" w:rsidRP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 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16E84232" w14:textId="77777777" w:rsid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32B96940" w14:textId="77777777" w:rsid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32E6D927" w14:textId="77777777" w:rsid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6669C92F" w14:textId="77777777" w:rsid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024BA83E" w14:textId="31B4212F" w:rsidR="003A0AAD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del elemento de salvaguarda (por ejemplo, oficial de GRM). </w:t>
      </w:r>
    </w:p>
    <w:p w14:paraId="2D58F4BB" w14:textId="77777777" w:rsidR="00DB4FA4" w:rsidRPr="00DB4FA4" w:rsidRDefault="00DB4FA4" w:rsidP="00DB4FA4">
      <w:pPr>
        <w:spacing w:before="120" w:after="120" w:line="336" w:lineRule="auto"/>
        <w:ind w:left="360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DB4FA4" w14:paraId="2EA2670E" w14:textId="77777777" w:rsidTr="00DB4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2B820AB9" w14:textId="77777777" w:rsidR="003A0AAD" w:rsidRPr="00DB4FA4" w:rsidRDefault="003A0AAD" w:rsidP="00DB4FA4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Elemento de salvaguarda faltante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6E21787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AAD68FE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9A18EAD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5EB3162" w14:textId="1C452A1E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AD2285B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B632E41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6F275EA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3A0AAD" w:rsidRPr="00DB4FA4" w14:paraId="4295B735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7583DC8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7F46F63F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061D1DC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3BCD23F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DDA6EE4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5FDCD68D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61FC221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B673CD5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2315720E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4A24174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5FB5A068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55D7A87F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4D67ED7F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70F076A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069C4507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410D704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05157425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11138175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8C548EC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138B444D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0C80B26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5608E16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437E7AB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FBF4065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7164227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BF49562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450C4DEC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345A2977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01F58A68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43CB78E5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FE9BD1C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508DCCB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00B6116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F98873E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9895847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6774A0CF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4161E12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5F8C4904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3DA0C4D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F16A462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2AD4F92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DD25333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8CED073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11FAE75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73006766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04A0B08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3395DF9D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7B05C3C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3CF359F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F490E13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50ADA54D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0AB4FDE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723C9C5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</w:tbl>
    <w:p w14:paraId="246D7713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19F94E26" w14:textId="5669383E" w:rsidR="003A0AAD" w:rsidRPr="003A0AAD" w:rsidRDefault="003A0AAD" w:rsidP="003A0AAD">
      <w:pPr>
        <w:spacing w:before="120" w:after="120" w:line="336" w:lineRule="auto"/>
        <w:rPr>
          <w:rFonts w:ascii="Bodoni 72 Book" w:hAnsi="Bodoni 72 Book"/>
          <w:sz w:val="64"/>
          <w:szCs w:val="64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2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 xml:space="preserve"> - Sistema de Información de Salvaguardas</w:t>
      </w:r>
    </w:p>
    <w:p w14:paraId="465C738C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63C9A942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2868D1A1" w14:textId="167DD3E5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programas J-REDD+ deben establecer un sistema para proporcionar información 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0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sobre cómo se están abordando y respetando las siete salvaguardas de la CMNUCC en todas las fases de implementación de las actividades de REDD+, y que debe ser coherente con las orientaciones de la decisión 12/CP de la CMNUCC. 17. </w:t>
      </w:r>
    </w:p>
    <w:p w14:paraId="444FDBC9" w14:textId="1FC89A9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 </w:t>
      </w: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Plan de trabajo  </w:t>
      </w:r>
    </w:p>
    <w:p w14:paraId="571E530A" w14:textId="502C3CEA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2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 en relación con su SIS. Con base en esta información, los usuarios deben completar la siguiente tabla de plantilla. </w:t>
      </w:r>
    </w:p>
    <w:p w14:paraId="4BA68554" w14:textId="4C29C8AE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3DDA6F15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1 (Deficiencias o deficiencias identificadas): para que los usuarios inserten las principales deficiencias o deficiencias identificadas para cada una de las características del SIS y en general.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2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0D55C564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2, que ya establece algunas recomendaciones clave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096B7DD2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reglamentaciones, como la adopción de una política o documento marco del SIS. </w:t>
      </w:r>
    </w:p>
    <w:p w14:paraId="5DA77232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Soluciones tecnológicas, como la adopción de una página web y una base de datos del SIS. </w:t>
      </w:r>
    </w:p>
    <w:p w14:paraId="0A43599B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Arreglos institucionales, como la creación o el fortalecimiento de una plataforma de múltiples partes interesadas del SIS. </w:t>
      </w:r>
    </w:p>
    <w:p w14:paraId="01A004EB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Adopción de lineamientos, procesos y procedimientos para el SIS </w:t>
      </w:r>
    </w:p>
    <w:p w14:paraId="2AFF8A43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279D9794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46E072B7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08E64D25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4945052F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13355AF9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5FBA512B" w14:textId="4E5443C6" w:rsidR="003A0AAD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 (por ejemplo, un oficial del SIS). </w:t>
      </w:r>
    </w:p>
    <w:p w14:paraId="5A7D5211" w14:textId="77777777" w:rsidR="00DB4FA4" w:rsidRPr="00DB4FA4" w:rsidRDefault="00DB4FA4" w:rsidP="00DB4FA4">
      <w:pPr>
        <w:spacing w:before="120" w:after="120" w:line="336" w:lineRule="auto"/>
        <w:ind w:left="406"/>
        <w:rPr>
          <w:rFonts w:ascii="Avenir Next" w:hAnsi="Avenir Next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943F41" w14:paraId="7E16DD2A" w14:textId="77777777" w:rsidTr="00DB4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09C8C4D4" w14:textId="77777777" w:rsidR="003A0AAD" w:rsidRPr="00943F41" w:rsidRDefault="003A0AAD" w:rsidP="00DB4FA4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633A333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608BF7C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8A6B75D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ED530EA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3C281CF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7FAC554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A710D45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3A0AAD" w:rsidRPr="00943F41" w14:paraId="2D328224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E2F90F0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1D82A9F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CE7CAAA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569860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C2072B1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3DCC5A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7972083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C705B3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737C212B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5B757F4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5B5D9F2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C76FC7F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C156F9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326932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FFA7BBB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769833C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DC6786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25E2FD23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C11763D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4F1F98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1FE4ACC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8821AA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8806161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024B248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AD87183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C87841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48687F99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1015E396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2C8A9FD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72E271A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09EE245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5B3208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9B22E3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5965154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2BAEED0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7F68CB49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BF3E8D8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738A5A0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336A80B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2D97B53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C5CE402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2A41E29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D25D7D9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FD66837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0092341C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4BB065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CBAFCB7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C7DD339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21CE3E9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9602FF2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A1C29A3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5761A12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D305CB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590B64D6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3E5D74A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380DF71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208C1D0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5001CE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615499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0F733D2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68BC8A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B9D351C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4A396FE0" w14:textId="77777777" w:rsidR="00DB4FA4" w:rsidRDefault="00000000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br/>
      </w:r>
    </w:p>
    <w:p w14:paraId="5DE4D564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2F528B15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1A0BF7BD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2D7E989C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3BC9C133" w14:textId="582BCBED" w:rsidR="002211FC" w:rsidRPr="003A0AAD" w:rsidRDefault="003A0AAD">
      <w:pPr>
        <w:spacing w:before="120" w:after="120" w:line="336" w:lineRule="auto"/>
        <w:rPr>
          <w:rFonts w:ascii="Bodoni 72 Book" w:hAnsi="Bodoni 72 Book"/>
          <w:sz w:val="64"/>
          <w:szCs w:val="64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3 -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Arreglos de gobernanza del programa J-REDD+ que garantizan la aplicación de las salvaguardas REDD+ de la CMNUCC</w:t>
      </w:r>
    </w:p>
    <w:p w14:paraId="46059F1D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60B5F05A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310C5E93" w14:textId="6CB1767B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Las actividades REDD+, independientemente de su tipo de fuente de financiamiento, deben implementarse de tal manera que sean consistentes con las salvaguardas REDD+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1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Esto implica que los programas J-REDD+ deben tomar medidas para aclarar qué significan las salvaguardas REDD+ de la CMNUCC en el contexto del país y determinar “cómo” se aplicarán durante la implementación de sus actividades REDD+. </w:t>
      </w:r>
    </w:p>
    <w:p w14:paraId="6A82E459" w14:textId="6F1B3668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 </w:t>
      </w: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>Plan de trabajo</w:t>
      </w: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</w:t>
      </w:r>
    </w:p>
    <w:p w14:paraId="3967B446" w14:textId="02031903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3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2A8820CB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44BA14F7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Columna 1 (Deficiencias o brechas identificadas): para que los usuarios inserten las deficiencias o brechas clave identificadas para cada salvaguarda.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3.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3AA9563C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Consulte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3, que ya establece algunas recomendaciones clave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170AF3B8" w14:textId="77777777" w:rsidR="00DB4FA4" w:rsidRPr="00DB4FA4" w:rsidRDefault="00000000" w:rsidP="00DB4FA4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reglamentaciones, como la adopción de procedimientos específicos. </w:t>
      </w:r>
    </w:p>
    <w:p w14:paraId="29E5B6A7" w14:textId="77777777" w:rsidR="00DB4FA4" w:rsidRPr="00DB4FA4" w:rsidRDefault="00000000" w:rsidP="00DB4FA4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Arreglos institucionales, como el establecimiento o fortalecimiento de una plataforma de múltiples partes interesadas de REDD+ </w:t>
      </w:r>
    </w:p>
    <w:p w14:paraId="64BBC06A" w14:textId="77777777" w:rsidR="00DB4FA4" w:rsidRPr="00DB4FA4" w:rsidRDefault="00000000" w:rsidP="00DB4FA4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67B00FB7" w14:textId="77777777" w:rsidR="00DB4FA4" w:rsidRPr="00DB4FA4" w:rsidRDefault="00000000" w:rsidP="00DB4FA4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6DB9C5A3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0651E2D5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3E95FC53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1FA25895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467EE3E4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20EF4980" w14:textId="529C0529" w:rsidR="002211FC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 (por ejemplo, oficial de salvaguardas/SIS). </w:t>
      </w:r>
    </w:p>
    <w:p w14:paraId="153CCAB7" w14:textId="77777777" w:rsidR="00DB4FA4" w:rsidRPr="00DB4FA4" w:rsidRDefault="00DB4FA4" w:rsidP="00DB4FA4">
      <w:pPr>
        <w:pStyle w:val="ListParagraph"/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943F41" w14:paraId="03674E91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70045B51" w14:textId="77777777" w:rsidR="00DB4FA4" w:rsidRPr="00943F41" w:rsidRDefault="00DB4FA4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lastRenderedPageBreak/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23029B5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CBD0B8D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B70F15F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6E8987C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42EB81E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F5A4678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54E2ED3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DB4FA4" w:rsidRPr="00943F41" w14:paraId="68C51D90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D3DB218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2E61D02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0F3AAD8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EEE077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CA2639B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CD434A9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F4FAE7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84A6302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15FE7C81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D0C1558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9BD0BA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BA31783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C9A8F3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5633A21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ABA0B9B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E5C30AB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1C3F799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6FA6E9B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EFB251F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CC024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48167B1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373C6B9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B9B5D61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25A3896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39D758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8070064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6FA60EEC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1613F89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ACF692D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202A74F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AD951DF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26BF7C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F8CF268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D3C4B15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D195386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28E684C8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0976C5E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C253CEB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B9EFD5B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D6A5ACF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42A8D5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F7E24A4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508B16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DF486DB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1FB0E29E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E80C4D9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D0C8AA8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300FFF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FE26F9F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CE0F343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CE13CA2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7E01741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E8CA98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26E4240E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F2801E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529EBF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44F5B18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66903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0B88347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190EBB8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FAFE323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9A981C4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16E36AA6" w14:textId="79D45410" w:rsidR="002211FC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BC60CC1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5827E618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27659CE8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623B8AA6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211208D1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263F487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58E8CF54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5E869E56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3B86FD66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2D7F3028" w14:textId="44B4109D" w:rsidR="002211FC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4 -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Plan o sistema de distribución de ingresos de REDD+</w:t>
      </w:r>
    </w:p>
    <w:p w14:paraId="03673DCF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2ABAE86C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6100B0DD" w14:textId="4AEE39B7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La adopción de un plan o sistema de distribución de ingresos de REDD+ se considera un aspecto clave de las salvaguardas 'b'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2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y ‘c’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3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de la CMNUCC. </w:t>
      </w:r>
    </w:p>
    <w:p w14:paraId="4C5EDF25" w14:textId="302903CA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  Plan de trabajo  </w:t>
      </w:r>
    </w:p>
    <w:p w14:paraId="0F9F0FEA" w14:textId="30831BD9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4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65AB3865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160BBCB0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Columna 1 (Deficiencias o brechas identificadas): para que los usuarios inserten las deficiencias o brechas clave identificadas para cada salvaguarda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. Consulte la Sección B completa de la Herramienta 4.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3BB5C080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Columna 2 (Acciones y Tareas): para que los usuarios identifiquen acciones y tareas específicas a realizar.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4, que ya establece algunas recomendaciones clave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67CCBD38" w14:textId="77777777" w:rsidR="00DB4FA4" w:rsidRPr="00DB4FA4" w:rsidRDefault="00000000" w:rsidP="00DB4FA4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reglamentaciones, como la adopción de procedimientos específicos. </w:t>
      </w:r>
    </w:p>
    <w:p w14:paraId="76369D7D" w14:textId="77777777" w:rsidR="00DB4FA4" w:rsidRPr="00DB4FA4" w:rsidRDefault="00000000" w:rsidP="00DB4FA4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Arreglos institucionales, como el establecimiento o fortalecimiento de una plataforma de múltiples partes interesadas de REDD+</w:t>
      </w:r>
    </w:p>
    <w:p w14:paraId="4D070D67" w14:textId="77777777" w:rsidR="00DB4FA4" w:rsidRPr="00DB4FA4" w:rsidRDefault="00000000" w:rsidP="00DB4FA4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3B739A5E" w14:textId="77777777" w:rsidR="00DB4FA4" w:rsidRPr="00DB4FA4" w:rsidRDefault="00000000" w:rsidP="00DB4FA4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 </w:t>
      </w:r>
    </w:p>
    <w:p w14:paraId="2E3D8315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2D3DD9E3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2394DB65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28379ABE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218236E0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3806B7C1" w14:textId="426E8359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salvaguarda. </w:t>
      </w:r>
    </w:p>
    <w:p w14:paraId="559CB8DA" w14:textId="77777777" w:rsid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FB289A6" w14:textId="77777777" w:rsidR="00DB4FA4" w:rsidRP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DB4FA4" w14:paraId="3885CA1D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7FE717FB" w14:textId="77777777" w:rsidR="00DB4FA4" w:rsidRPr="00DB4FA4" w:rsidRDefault="00DB4FA4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lastRenderedPageBreak/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F8FF038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FFF6DBC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5219385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425476F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45323960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2CFFFBA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09252F7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DB4FA4" w:rsidRPr="00DB4FA4" w14:paraId="18750E22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FA78217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836981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175FEED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6C1B00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F89CB0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43F0CB5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1D75FF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88280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3CBB501A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DABE38D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64570B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101E3D0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08D796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E775243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29BB91F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199980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22A90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796DF5C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8FCD81F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6FC25EF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2480149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F6647F3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1E32DD7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624E9F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D6F0878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7A4D436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0CB00048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A79DAA9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FC64E4C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5B6AFB2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C7F23B1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4892A06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D1DF13D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0BC6875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002C4A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4B5D3B17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7078520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68AF497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D62823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1CE940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D122ED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D9C5EA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2E6FC83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2720601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1CF625D7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2B0BC51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1355CE5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739A57E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98EA69E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09ADF0D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06BE5E3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65F3272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D1F185B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028D2D6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A166739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882BF7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F6FB57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014EF4E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2D4DB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0C33A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26B8B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89ABB5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36CEFB18" w14:textId="77777777" w:rsid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0A086A6A" w14:textId="77777777" w:rsidR="00DB4FA4" w:rsidRP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1FF085F0" w14:textId="77777777" w:rsidR="003A0AAD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17EA4E58" w14:textId="29872A77" w:rsidR="002211FC" w:rsidRPr="003A0AAD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13A6F1B3" w14:textId="77777777" w:rsidR="00DB4FA4" w:rsidRDefault="00000000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52D05400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58B4BAFB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548CAE1C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0775CFD6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66E082E4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1A0E32DF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3BE14D46" w14:textId="2E57D627" w:rsidR="003A0AAD" w:rsidRPr="003A0AAD" w:rsidRDefault="003A0AAD" w:rsidP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5 -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1.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Mecanismo o mecanismos de atención a quejas y reclamaciones</w:t>
      </w:r>
    </w:p>
    <w:p w14:paraId="12CC4583" w14:textId="4D5E5BBB" w:rsidR="002211FC" w:rsidRPr="003A0AAD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1936744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4EED69C7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4468EF7B" w14:textId="648D0D1C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La disponibilidad de GRM adecuados se considera un aspecto clave de la salvaguardia 'b'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4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08B81D40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Plan de trabajo  </w:t>
      </w:r>
    </w:p>
    <w:p w14:paraId="2A019A92" w14:textId="3654D425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5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512DD410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09A15F0A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Columna 1 (Deficiencias o brechas identificadas): para que los usuarios inserten las deficiencias o brechas clave identificadas para cada salvaguarda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. Consulte la Sección B completa de la Herramienta 5.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5F8B3EAD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5, que ya establece algunas recomendaciones clave.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Las acciones clave pueden incluir, entre otras: </w:t>
      </w:r>
    </w:p>
    <w:p w14:paraId="4CBB1E89" w14:textId="77777777" w:rsidR="00DB4FA4" w:rsidRPr="00DB4FA4" w:rsidRDefault="00000000" w:rsidP="00DB4FA4">
      <w:pPr>
        <w:pStyle w:val="ListParagraph"/>
        <w:numPr>
          <w:ilvl w:val="1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Desarrollo de políticas y reglamentaciones, como la adopción de procedimientos específicos. </w:t>
      </w:r>
    </w:p>
    <w:p w14:paraId="0BB780CA" w14:textId="77777777" w:rsidR="00DB4FA4" w:rsidRPr="00DB4FA4" w:rsidRDefault="00000000" w:rsidP="00DB4FA4">
      <w:pPr>
        <w:pStyle w:val="ListParagraph"/>
        <w:numPr>
          <w:ilvl w:val="1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Arreglos institucionales, como la creación de una unidad GRM. </w:t>
      </w:r>
    </w:p>
    <w:p w14:paraId="508100C7" w14:textId="77777777" w:rsidR="00DB4FA4" w:rsidRPr="00DB4FA4" w:rsidRDefault="00000000" w:rsidP="00DB4FA4">
      <w:pPr>
        <w:pStyle w:val="ListParagraph"/>
        <w:numPr>
          <w:ilvl w:val="1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7CD4FBE5" w14:textId="77777777" w:rsidR="00DB4FA4" w:rsidRPr="00DB4FA4" w:rsidRDefault="00000000" w:rsidP="00DB4FA4">
      <w:pPr>
        <w:pStyle w:val="ListParagraph"/>
        <w:numPr>
          <w:ilvl w:val="1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5A3171A5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4D358188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3E05107D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3192FAAE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31CE181F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2B539900" w14:textId="0A2B1BC7" w:rsidR="00DB4FA4" w:rsidRPr="00C54056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salvaguarda. </w:t>
      </w:r>
    </w:p>
    <w:p w14:paraId="068518A1" w14:textId="77777777" w:rsidR="00C54056" w:rsidRPr="00DB4FA4" w:rsidRDefault="00C54056" w:rsidP="00C54056">
      <w:pPr>
        <w:pStyle w:val="ListParagraph"/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DB4FA4" w14:paraId="45481AFD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2291A5A2" w14:textId="77777777" w:rsidR="00DB4FA4" w:rsidRPr="00DB4FA4" w:rsidRDefault="00DB4FA4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488BEBA0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ADB46AC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932FD65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42FB50E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54197C1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0678D66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FA84412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DB4FA4" w:rsidRPr="00DB4FA4" w14:paraId="291DAAAF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A403B71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D354E99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114F05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5417C3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420607E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92294A4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EAD53B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A722C64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6362DD55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29B172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4895342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4BD395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F00D55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055F1F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F1EED1E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07B9554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01C93E8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61EFCD9B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2D1EC9B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A6EDFA9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A8718B4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CBA814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EFBD651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E59AD1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152A9D2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499BEE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737C8524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7AF8C79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4ACDDA4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6BFB4B1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83DB84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4894266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C52F0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7A9EF92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D586736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276B2C3F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B0C9FF5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61207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F266FDB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9E1879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C1DB3C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A876AC8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818540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85D1E95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0976049B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58D38F0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5CE370A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3224B0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A547EE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C516A8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402F06B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FCDF3FD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1616D0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3E2CEDA7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F9B5606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53FE1FF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CDC7D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778FCB2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782EDDD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4EC0FC8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F260C9F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1BF2CF8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62E54FE3" w14:textId="77777777" w:rsid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70CA4D33" w14:textId="5BE14103" w:rsidR="003A0AAD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3E135060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2DFB1C7B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7B900F85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3DB7935B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79EAD6BC" w14:textId="37B69335" w:rsidR="002211FC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6 -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1.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Enfoques participativos del programa J-REDD+</w:t>
      </w:r>
    </w:p>
    <w:p w14:paraId="413CEF12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59AC5A48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4440EC78" w14:textId="469CE8D8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En respuesta a la decisión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5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un aspecto clave para los programas J-REDD+ es garantizar la participación plena y efectiva de todas las partes interesadas en su diseño e implementación. </w:t>
      </w:r>
    </w:p>
    <w:p w14:paraId="31BFB82B" w14:textId="1B536DD4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 </w:t>
      </w: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>Plan de trabajo</w:t>
      </w: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</w:t>
      </w:r>
    </w:p>
    <w:p w14:paraId="2FD90098" w14:textId="6AA918C2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la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Sección B completa de la Herramienta 6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151D0895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03454C13" w14:textId="77777777" w:rsidR="00DB4FA4" w:rsidRPr="00DB4FA4" w:rsidRDefault="00000000" w:rsidP="00DB4FA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1 (Deficiencias o brechas identificadas): para que los usuarios inserten las deficiencias o brechas clave identificadas para cada salvaguarda.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6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2A1281A9" w14:textId="77777777" w:rsidR="00DB4FA4" w:rsidRPr="00DB4FA4" w:rsidRDefault="00000000" w:rsidP="00DB4FA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Consulte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6, que ya establece algunas recomendaciones clave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093A67BC" w14:textId="65D8CD2C" w:rsidR="00DB4FA4" w:rsidRPr="00DB4FA4" w:rsidRDefault="00000000" w:rsidP="00DB4FA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  <w:r w:rsid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ab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reglamentaciones, como la adopción de procedimientos específicos. </w:t>
      </w:r>
    </w:p>
    <w:p w14:paraId="69A7A75F" w14:textId="77777777" w:rsidR="00DB4FA4" w:rsidRPr="00DB4FA4" w:rsidRDefault="00000000" w:rsidP="00C54056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Arreglos institucionales </w:t>
      </w:r>
    </w:p>
    <w:p w14:paraId="29FECCF0" w14:textId="2CF1F33E" w:rsidR="00DB4FA4" w:rsidRPr="00DB4FA4" w:rsidRDefault="00000000" w:rsidP="00C54056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795FA8B9" w14:textId="77777777" w:rsidR="00C54056" w:rsidRPr="00C54056" w:rsidRDefault="00000000" w:rsidP="00C54056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7A98EAA2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29E1A3D6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4856F774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10B6B6DA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7931C583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5C5C544E" w14:textId="075C40E2" w:rsidR="002211FC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salvaguarda. 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C54056" w:rsidRPr="00DB4FA4" w14:paraId="7489A75F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04CA23B3" w14:textId="77777777" w:rsidR="00C54056" w:rsidRPr="00DB4FA4" w:rsidRDefault="00C54056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9C83D21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1DDF02E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A5402B4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3F8A61B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509372B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D9652E6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AF71911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C54056" w:rsidRPr="00DB4FA4" w14:paraId="762B31CA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E6CDA3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46BD63C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806847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D151D81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E19A7E4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94AC15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E86645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5A8575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4A274352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221162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001D84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1D42459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2830F0C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8E5195A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80A61F1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15C48F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C692E6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5DF6AC0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4E8950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2F6AAC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C03C4D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7A3D07D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282177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CAF1B7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BA7F03D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4B8508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0FAC5678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B335A8B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C256EF2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31E1BB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519571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82E64D2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6DE9BDD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50E4361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F3BAEC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49CC916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17DF516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8302F60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963C4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D9472A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2FF1CE1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0039DA9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5C41F88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FFA8BA7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1FE30193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7F339D8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8FEDEF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4BDBA1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D9831C9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2BABF6B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14E25B8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E09C00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180775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0E57472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2C037B9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268D73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90D3510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B9A12D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68F738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BE0D7D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C52B4C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61AD482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6AFC6512" w14:textId="77777777" w:rsidR="00C54056" w:rsidRDefault="00C54056" w:rsidP="00C54056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E6E9EAD" w14:textId="77777777" w:rsidR="00C54056" w:rsidRPr="00C54056" w:rsidRDefault="00C54056" w:rsidP="00C54056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0C9CE6E7" w14:textId="77777777" w:rsidR="003A0AAD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6A1D2C5A" w14:textId="77777777" w:rsidR="00C54056" w:rsidRDefault="00000000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0CF0CB64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742E25FD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6D4E9682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0670473C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1810413D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16A40186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6FBFAF18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393011D8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42E9BBD4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3794FA4B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292FCBEC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55068E64" w14:textId="77777777" w:rsidR="00C54056" w:rsidRDefault="00C54056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sectPr w:rsidR="00C54056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5D1B227B" w14:textId="6A9A86E8" w:rsidR="002211FC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7 -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Resumen de información</w:t>
      </w:r>
    </w:p>
    <w:p w14:paraId="7506A2F8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1AA6FF94" w14:textId="77777777" w:rsidR="002211FC" w:rsidRPr="00C54056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C54056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21A7F450" w14:textId="2725EE39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recibir pagos basados ​​en resultados, los programas J-REDD+ deben presentar su SOI (o informe de salvaguardas subnacional equivalente) más reciente que demuestre cómo se han abordado y respetado las salvaguardas (generalmente denominado resumen de información o SOI)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6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, que debe ser coherente con las orientaciones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7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 </w:t>
      </w:r>
    </w:p>
    <w:p w14:paraId="43546480" w14:textId="77777777" w:rsidR="002211FC" w:rsidRPr="00C54056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C54056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>Plan de trabajo</w:t>
      </w:r>
      <w:r w:rsidRPr="00C54056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</w:t>
      </w:r>
    </w:p>
    <w:p w14:paraId="7B00E9EF" w14:textId="73E353F1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la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Sección B completa de la Herramienta 7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7A7789DA" w14:textId="77777777" w:rsidR="00C54056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6AF2013F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1 (Deficiencias o brechas identificadas): para que los usuarios inserten las deficiencias o brechas clave identificadas para cada salvaguarda. Consulte la </w:t>
      </w:r>
      <w:r w:rsidRPr="00C54056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Sección B completa de la Herramienta 7</w:t>
      </w: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70CFF46D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Consulte </w:t>
      </w:r>
      <w:r w:rsidRPr="00C54056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7, que ya establece algunas recomendaciones clave</w:t>
      </w: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1610CCBC" w14:textId="77777777" w:rsidR="00C54056" w:rsidRPr="00C54056" w:rsidRDefault="00000000" w:rsidP="00C54056">
      <w:pPr>
        <w:pStyle w:val="ListParagraph"/>
        <w:numPr>
          <w:ilvl w:val="1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Desarrollo de políticas y reglamentaciones, como la adopción de procedimientos específicos. </w:t>
      </w:r>
    </w:p>
    <w:p w14:paraId="326EF5E0" w14:textId="77777777" w:rsidR="00C54056" w:rsidRPr="00C54056" w:rsidRDefault="00000000" w:rsidP="00C54056">
      <w:pPr>
        <w:pStyle w:val="ListParagraph"/>
        <w:numPr>
          <w:ilvl w:val="1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Arreglos institucionales </w:t>
      </w:r>
    </w:p>
    <w:p w14:paraId="135F3DFB" w14:textId="77777777" w:rsidR="00C54056" w:rsidRPr="00C54056" w:rsidRDefault="00000000" w:rsidP="00C54056">
      <w:pPr>
        <w:pStyle w:val="ListParagraph"/>
        <w:numPr>
          <w:ilvl w:val="1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26D6F98C" w14:textId="77777777" w:rsidR="00C54056" w:rsidRPr="00C54056" w:rsidRDefault="00000000" w:rsidP="00C54056">
      <w:pPr>
        <w:pStyle w:val="ListParagraph"/>
        <w:numPr>
          <w:ilvl w:val="1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04D171AD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78301868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3474093C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0F627E20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6294897E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7EB60768" w14:textId="0BA5615B" w:rsidR="002211FC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salvaguarda. 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C54056" w:rsidRPr="00DB4FA4" w14:paraId="298E46D5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499ED916" w14:textId="77777777" w:rsidR="00C54056" w:rsidRPr="00DB4FA4" w:rsidRDefault="00C54056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DFB017F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175638A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F788F75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F244BAD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E781352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F8A2B26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2A61C09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C54056" w:rsidRPr="00DB4FA4" w14:paraId="46209B5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24030BF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9AE14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C17573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C3A502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9DE43E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B49DFE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C20C39E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FFD5E89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206E7FCA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BF33B54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D37FB9A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7BC26FA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8300B2E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629ACB1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7D2D8F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DB682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23899BC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5F9B533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A292E97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8ED3844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F94414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598F99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8ABE38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545A64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C092758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637393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2B6C5DFE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4D53DF3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B6779B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A175776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C834820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372A992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0E03DDA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B198C2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93E05AC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74BCB6B4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75EB030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69A1641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05475F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33F0B22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49ACEE0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1FF31B5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622A76C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A7DBCB1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441F0E36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6BA0085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8B29BCD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0FC4C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2FC5D01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688EC59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DDFC4E8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C91E96D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4B4B8B7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1ABE188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670FD43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B0F6C3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F7879C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51A2D4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8490E08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5AC3D0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AEBDA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9AF0777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5F46838E" w14:textId="77777777" w:rsidR="003A0AAD" w:rsidRDefault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7E4062DD" w14:textId="77777777" w:rsidR="002211FC" w:rsidRPr="003A0AAD" w:rsidRDefault="00000000" w:rsidP="003A0AAD">
      <w:pPr>
        <w:spacing w:before="120" w:after="120" w:line="336" w:lineRule="auto"/>
        <w:rPr>
          <w:lang w:val="es-ES"/>
        </w:rPr>
      </w:pPr>
      <w:r w:rsidRPr="003A0AAD">
        <w:rPr>
          <w:rFonts w:ascii="IBM Plex Sans" w:eastAsia="IBM Plex Sans" w:hAnsi="IBM Plex Sans" w:cs="IBM Plex Sans"/>
          <w:color w:val="000000"/>
          <w:lang w:val="es-ES"/>
        </w:rPr>
        <w:t xml:space="preserve"> </w:t>
      </w:r>
    </w:p>
    <w:sectPr w:rsidR="002211FC" w:rsidRPr="003A0AAD" w:rsidSect="00A07252"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46F91" w14:textId="77777777" w:rsidR="00A07252" w:rsidRDefault="00A07252" w:rsidP="003A0AAD">
      <w:r>
        <w:separator/>
      </w:r>
    </w:p>
  </w:endnote>
  <w:endnote w:type="continuationSeparator" w:id="0">
    <w:p w14:paraId="7402A5EB" w14:textId="77777777" w:rsidR="00A07252" w:rsidRDefault="00A07252" w:rsidP="003A0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9406ACF-E1DE-E54E-9442-A76856F239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BC478F-FB37-D142-A0A9-D29532B6B019}"/>
    <w:embedBold r:id="rId3" w:fontKey="{3B515DEA-D475-D549-8C59-E5FE4C3202A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013621E-15F5-DF44-A133-87BBC6BC76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98F6387-001C-E949-9020-EF41518267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7578606-878A-094B-BA2F-EE659E2073EF}"/>
    <w:embedBold r:id="rId7" w:fontKey="{98BE00BD-D945-2843-9A78-037D68309F15}"/>
  </w:font>
  <w:font w:name="Bodoni 72 Book">
    <w:altName w:val="BODONI 72 BOOK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8" w:fontKey="{E096B53C-5B39-3F45-ADFA-0EE6249BE271}"/>
    <w:embedBold r:id="rId9" w:fontKey="{6534D81C-E24F-3546-B1A2-4BAA9ECFF375}"/>
  </w:font>
  <w:font w:name="Prata">
    <w:altName w:val="Calibri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1" w:fontKey="{B94AE69C-9B95-3C4D-9346-449DF7C5943E}"/>
    <w:embedBold r:id="rId12" w:fontKey="{0470336E-6A4B-734F-BF7C-C4260A70D88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3" w:fontKey="{94B0FFD2-A652-C748-948A-ED89F61D2020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4" w:fontKey="{8731BEA7-674D-A24A-A6FE-013A3B8714C0}"/>
    <w:embedBold r:id="rId15" w:fontKey="{BE7D0A4E-AE84-294E-991B-1CE1252E1BD1}"/>
  </w:font>
  <w:font w:name="IBM Plex Sans Bold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D87DAFEE-A9B0-F94D-A2EA-FEF77931AD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CC613" w14:textId="77777777" w:rsidR="00A07252" w:rsidRDefault="00A07252" w:rsidP="003A0AAD">
      <w:r>
        <w:separator/>
      </w:r>
    </w:p>
  </w:footnote>
  <w:footnote w:type="continuationSeparator" w:id="0">
    <w:p w14:paraId="4DAB7C2C" w14:textId="77777777" w:rsidR="00A07252" w:rsidRDefault="00A07252" w:rsidP="003A0AAD">
      <w:r>
        <w:continuationSeparator/>
      </w:r>
    </w:p>
  </w:footnote>
  <w:footnote w:id="1">
    <w:p w14:paraId="7E3F7872" w14:textId="4E89500E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Según la Decisión 9/CP.19, párrafo 3, todos los elementos mencionados en la Decisión 1/CP.16, párrafo 71, deben estar establecidos para acceder a los pagos basados ​​en resultados. Todos estos elementos están incorporados como requisitos de los estándares J-REDD+.</w:t>
      </w:r>
    </w:p>
  </w:footnote>
  <w:footnote w:id="2">
    <w:p w14:paraId="49162DB0" w14:textId="77777777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A </w:t>
      </w:r>
      <w:proofErr w:type="gramStart"/>
      <w:r w:rsidRPr="00943F41">
        <w:rPr>
          <w:rFonts w:ascii="Avenir Next" w:hAnsi="Avenir Next"/>
          <w:sz w:val="14"/>
          <w:szCs w:val="14"/>
          <w:lang w:val="es-ES"/>
        </w:rPr>
        <w:t>Diciembre</w:t>
      </w:r>
      <w:proofErr w:type="gramEnd"/>
      <w:r w:rsidRPr="00943F41">
        <w:rPr>
          <w:rFonts w:ascii="Avenir Next" w:hAnsi="Avenir Next"/>
          <w:sz w:val="14"/>
          <w:szCs w:val="14"/>
          <w:lang w:val="es-ES"/>
        </w:rPr>
        <w:t xml:space="preserve"> de 2022, de los 64 países que han presentado presentaciones al centro de información de la CMNUCC, solo 24 han presentado un resumen de información (SOI) sobre cómo se abordan y respetan las salvaguardas, y solo 7 han presentado documentación para evidenciar que el sistema de información de salvaguardas (SIS) está en lugar. Para obtener más información, consulte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D., Oliveira, B., et. al. 2022. ““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Jurisdictional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REDD+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programs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: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Progress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on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the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Elements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of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the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Warsaw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Framework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for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REDD+ and Access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to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Results-based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proofErr w:type="gramStart"/>
      <w:r w:rsidRPr="00943F41">
        <w:rPr>
          <w:rFonts w:ascii="Avenir Next" w:hAnsi="Avenir Next"/>
          <w:sz w:val="14"/>
          <w:szCs w:val="14"/>
          <w:lang w:val="es-ES"/>
        </w:rPr>
        <w:t>Finance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”</w:t>
      </w:r>
      <w:proofErr w:type="gram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Info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Brief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. Oxford, Reino Unido.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Climate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Law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&amp;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Policy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.</w:t>
      </w:r>
    </w:p>
    <w:p w14:paraId="30D29BD4" w14:textId="54BDA681" w:rsidR="003A0AAD" w:rsidRPr="003A0AAD" w:rsidRDefault="003A0AAD">
      <w:pPr>
        <w:pStyle w:val="FootnoteText"/>
        <w:rPr>
          <w:color w:val="0563C1" w:themeColor="hyperlink"/>
          <w:sz w:val="16"/>
          <w:szCs w:val="16"/>
          <w:u w:val="single"/>
        </w:rPr>
      </w:pPr>
      <w:r w:rsidRPr="00943F41">
        <w:rPr>
          <w:rFonts w:ascii="Avenir Next" w:hAnsi="Avenir Next"/>
          <w:sz w:val="14"/>
          <w:szCs w:val="14"/>
          <w:lang w:val="es-ES"/>
        </w:rPr>
        <w:t xml:space="preserve">Disponible en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linea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en: </w:t>
      </w:r>
      <w:hyperlink r:id="rId1">
        <w:r w:rsidRPr="00943F41">
          <w:rPr>
            <w:rStyle w:val="Hyperlink"/>
            <w:rFonts w:ascii="Avenir Next" w:hAnsi="Avenir Next"/>
            <w:sz w:val="14"/>
            <w:szCs w:val="14"/>
            <w:lang w:val="es-ES"/>
          </w:rPr>
          <w:t>https://climatelawandpolicy.com/</w:t>
        </w:r>
      </w:hyperlink>
    </w:p>
  </w:footnote>
  <w:footnote w:id="3">
    <w:p w14:paraId="511EBBC7" w14:textId="23976785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1/CP.16 de la CMNUCC, párrafo 71(d</w:t>
      </w:r>
    </w:p>
  </w:footnote>
  <w:footnote w:id="4">
    <w:p w14:paraId="26A1CAF3" w14:textId="62F23237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“Acuerda que, independientemente de la fuente o el tipo de financiamiento, las actividades mencionadas en la decisión 1/CP.16, párrafo 70, deben ser compatibles con las disposiciones pertinentes incluidas en la decisión 1/CP.16, incluidas las salvaguardas de su apéndice I” Decisión 2/CP.17 de la CMNUCC, párrafo 63</w:t>
      </w:r>
    </w:p>
  </w:footnote>
  <w:footnote w:id="5">
    <w:p w14:paraId="2E7FD6FA" w14:textId="602DC99D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las estructuras de gobernanza eficaces generalmente incluyen: leyes y reglamentos relacionados con la gobernanza forestal y el uso sostenible de los bosques; derechos claros de propiedad y posesión (tenencia de la tierra), incluidos</w:t>
      </w:r>
    </w:p>
    <w:p w14:paraId="2B2A473F" w14:textId="2633B197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Fonts w:ascii="Avenir Next" w:hAnsi="Avenir Next"/>
          <w:sz w:val="14"/>
          <w:szCs w:val="14"/>
          <w:lang w:val="es-ES"/>
        </w:rPr>
        <w:t xml:space="preserve">para la propiedad tradicional y consuetudinaria; y acuerdos justos y equitativos de distribución de beneficios. Anexo II, Braña Varela, J., Lee, D.,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, D. 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Swan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S. 2014. “Salvaguardas REDD+: consideraciones prácticas para desarrollar un resumen de información”. Preparado con el apoyo de la Iniciativa Internacional sobre Clima y Bosques del Gobierno de Noruega.</w:t>
      </w:r>
    </w:p>
  </w:footnote>
  <w:footnote w:id="6">
    <w:p w14:paraId="70C9FA7F" w14:textId="63562805" w:rsidR="003A0AAD" w:rsidRPr="003A0AAD" w:rsidRDefault="003A0AAD">
      <w:pPr>
        <w:pStyle w:val="FootnoteText"/>
        <w:rPr>
          <w:sz w:val="16"/>
          <w:szCs w:val="16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Los instrumentos internacionales reconocen el derecho a una participación equitativa en los beneficios. Convenio sobre la Diversidad Biológica, artículos 8(f)(j), 10(c); Protocolo de Nagoya, artículo 7; Instrumento jurídicamente no vinculante sobre todos los tipos de bosques, artículo 1(f); Convenio núm. 169 de la OIT, artículo 7.</w:t>
      </w:r>
    </w:p>
  </w:footnote>
  <w:footnote w:id="7">
    <w:p w14:paraId="6AB25841" w14:textId="0B0B454A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estructuras de gobernanza efectivas generalmente incluyen: acceso a procedimientos judiciales o administrativos que puedan proporcionar un recurso efectivo para las violaciones de derechos y para resolver disputas, especialmente para los pueblos indígenas. Anexo II, Braña Varela, J., Lee, D.,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, D. 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Swan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S. 2014. “Salvaguardas REDD+: consideraciones prácticas para desarrollar un resumen de información”. Preparado con el apoyo de la Iniciativa Internacional sobre Clima y Bosques del Gobierno de Noruega.</w:t>
      </w:r>
    </w:p>
  </w:footnote>
  <w:footnote w:id="8">
    <w:p w14:paraId="7CC21360" w14:textId="7BDFC63E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la salvaguarda 'D' de la CMNUCC, que se refiere específicamente a la 'participación plena y efectiva', generalmente se asocian al reconocimiento y la implementación de derechos procesales (también conocidos como derechos de acceso), como el acceso a la información, la participación y la justicia en relación con la decisión. -procesos de elaboración. Debido a las diferentes identidades, culturas, idiomas e instituciones de los pueblos indígenas y las comunidades locales, garantizar su participación plena y efectiva está en algunos casos asociado con procedimientos o medidas especiales, incluido el Consentimiento Libre, Previo e Informado (CLPI).</w:t>
      </w:r>
    </w:p>
  </w:footnote>
  <w:footnote w:id="9">
    <w:p w14:paraId="697F270A" w14:textId="3D2CE866" w:rsidR="003A0AAD" w:rsidRPr="003A0AAD" w:rsidRDefault="003A0AAD" w:rsidP="003A0AAD">
      <w:pPr>
        <w:rPr>
          <w:sz w:val="16"/>
          <w:szCs w:val="16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1/CP.16 de la CMNUCC, párrafo 72</w:t>
      </w:r>
    </w:p>
  </w:footnote>
  <w:footnote w:id="10">
    <w:p w14:paraId="1C9E6989" w14:textId="4AAB83D6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1/CP.16 de la CMNUCC, párrafo 71(d).</w:t>
      </w:r>
    </w:p>
  </w:footnote>
  <w:footnote w:id="11">
    <w:p w14:paraId="41398393" w14:textId="042C569A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“Acuerda que, independientemente de la fuente o el tipo de financiamiento, las actividades mencionadas en la decisión 1/CP.16, párrafo 70, deben ser compatibles con las disposiciones pertinentes incluidas en la decisión 1/CP.16, incluidas las salvaguardias de su apéndice I” Decisión 2/CP.17 de la CMNUCC, párrafo 63</w:t>
      </w:r>
    </w:p>
  </w:footnote>
  <w:footnote w:id="12">
    <w:p w14:paraId="28AFEBE3" w14:textId="77777777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las estructuras de gobernanza eficaces generalmente incluyen: leyes y reglamentos relacionados con la gobernanza forestal y el uso sostenible de los bosques; derechos claros de propiedad y posesión (tenencia de la tierra), incluidos</w:t>
      </w:r>
    </w:p>
    <w:p w14:paraId="2A176331" w14:textId="7FF928FF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Fonts w:ascii="Avenir Next" w:hAnsi="Avenir Next"/>
          <w:sz w:val="14"/>
          <w:szCs w:val="14"/>
          <w:lang w:val="es-ES"/>
        </w:rPr>
        <w:t xml:space="preserve">para la propiedad tradicional y consuetudinaria; y acuerdos justos y equitativos de distribución de beneficios. Anexo II, Braña Varela, J., Lee, D.,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, D. 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Swan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S. 2014. “Salvaguardas REDD+: consideraciones prácticas para desarrollar un resumen de información”. Preparado con el apoyo de la Iniciativa Internacional sobre Clima y Bosques del Gobierno de Noruega.</w:t>
      </w:r>
    </w:p>
  </w:footnote>
  <w:footnote w:id="13">
    <w:p w14:paraId="558BA7C9" w14:textId="77777777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Los instrumentos internacionales reconocen el derecho a una participación equitativa en los beneficios. Convenio sobre la Diversidad Biológica, artículos 8(f)(j), 10(c); Protocolo de Nagoya, artículo 7; Instrumento jurídicamente no vinculante sobre todos los tipos de bosques, artículo 1(f); Convenio núm. 169 de la OIT, artículo 7.</w:t>
      </w:r>
    </w:p>
    <w:p w14:paraId="06273F08" w14:textId="69B0B311" w:rsidR="003A0AAD" w:rsidRPr="003A0AAD" w:rsidRDefault="003A0AAD">
      <w:pPr>
        <w:pStyle w:val="FootnoteText"/>
        <w:rPr>
          <w:lang w:val="en-GB"/>
        </w:rPr>
      </w:pPr>
    </w:p>
  </w:footnote>
  <w:footnote w:id="14">
    <w:p w14:paraId="14AFAA4C" w14:textId="0FA0A908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estructuras de gobernanza efectivas generalmente incluyen: acceso a procedimientos judiciales o administrativos que puedan proporcionar un recurso efectivo para las violaciones de derechos y para resolver disputas, especialmente para los pueblos indígenas. Anexo II, Braña Varela, J., Lee, D.,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, D. 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Swan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S. 2014. “Salvaguardas REDD+: consideraciones prácticas para desarrollar un resumen de información”. Preparado con el apoyo de la Iniciativa Internacional sobre Clima y Bosques del Gobierno de Noruega.</w:t>
      </w:r>
    </w:p>
  </w:footnote>
  <w:footnote w:id="15">
    <w:p w14:paraId="6B30A4DE" w14:textId="5D85A500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1/CP.16 de la CMNUCC, párrafo 72</w:t>
      </w:r>
    </w:p>
  </w:footnote>
  <w:footnote w:id="16">
    <w:p w14:paraId="2B265680" w14:textId="2349A1DD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9/CP de la CMNUCC, párrafo 4; Decisión 2/CP.17, párrafos 63 y 64; Decisión 12/CP.17 párrafos 3 y 4.</w:t>
      </w:r>
    </w:p>
  </w:footnote>
  <w:footnote w:id="17">
    <w:p w14:paraId="5DE22497" w14:textId="2A6F3FE5" w:rsidR="003A0AAD" w:rsidRPr="003A0AAD" w:rsidRDefault="003A0AAD">
      <w:pPr>
        <w:pStyle w:val="FootnoteText"/>
        <w:rPr>
          <w:lang w:val="en-GB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17/CP.2 de la CMNUCC</w:t>
      </w:r>
      <w:proofErr w:type="gramStart"/>
      <w:r w:rsidRPr="00943F41">
        <w:rPr>
          <w:rFonts w:ascii="Avenir Next" w:hAnsi="Avenir Next"/>
          <w:sz w:val="14"/>
          <w:szCs w:val="14"/>
          <w:lang w:val="es-ES"/>
        </w:rPr>
        <w:t>. ,</w:t>
      </w:r>
      <w:proofErr w:type="gramEnd"/>
      <w:r w:rsidRPr="00943F41">
        <w:rPr>
          <w:rFonts w:ascii="Avenir Next" w:hAnsi="Avenir Next"/>
          <w:sz w:val="14"/>
          <w:szCs w:val="14"/>
          <w:lang w:val="es-ES"/>
        </w:rPr>
        <w:t xml:space="preserve"> requiere la participación plena y efectiva de las partes interesadas pertinentes, entre otros, los pueblos indígenas y las comunidades locales; al desarrollar e implementar estrategias o planes de acción nacionales, para abordar, entre otras cosas, las causas de la deforestación y la degradación forestal, las cuestiones de tenencia de la tierra, las cuestiones de gobernanza forestal, las consideraciones de género y las salvaguardas de la CMNUCC.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C3A"/>
    <w:multiLevelType w:val="hybridMultilevel"/>
    <w:tmpl w:val="29E47F78"/>
    <w:lvl w:ilvl="0" w:tplc="C74C45E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436189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E86120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9BC6D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A6272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A547B4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2DC81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90764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5D00D18">
      <w:numFmt w:val="decimal"/>
      <w:lvlText w:val=""/>
      <w:lvlJc w:val="left"/>
    </w:lvl>
  </w:abstractNum>
  <w:abstractNum w:abstractNumId="1" w15:restartNumberingAfterBreak="0">
    <w:nsid w:val="0FC65A7F"/>
    <w:multiLevelType w:val="hybridMultilevel"/>
    <w:tmpl w:val="0B983526"/>
    <w:lvl w:ilvl="0" w:tplc="82F2FCB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8D21FA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C2AB3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F02A5F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C024C4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3FE1A0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6BA392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D8222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63860F0">
      <w:numFmt w:val="decimal"/>
      <w:lvlText w:val=""/>
      <w:lvlJc w:val="left"/>
    </w:lvl>
  </w:abstractNum>
  <w:abstractNum w:abstractNumId="2" w15:restartNumberingAfterBreak="0">
    <w:nsid w:val="12D23A03"/>
    <w:multiLevelType w:val="hybridMultilevel"/>
    <w:tmpl w:val="67548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D6A98"/>
    <w:multiLevelType w:val="hybridMultilevel"/>
    <w:tmpl w:val="20CA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F2BE0"/>
    <w:multiLevelType w:val="hybridMultilevel"/>
    <w:tmpl w:val="EF52BD62"/>
    <w:lvl w:ilvl="0" w:tplc="CBC8665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648524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40A02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4E2F70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64CA0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3EEB93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CA2376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9EA17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2CA65E6">
      <w:numFmt w:val="decimal"/>
      <w:lvlText w:val=""/>
      <w:lvlJc w:val="left"/>
    </w:lvl>
  </w:abstractNum>
  <w:abstractNum w:abstractNumId="5" w15:restartNumberingAfterBreak="0">
    <w:nsid w:val="1EC51488"/>
    <w:multiLevelType w:val="hybridMultilevel"/>
    <w:tmpl w:val="A738B8F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2A4967D4"/>
    <w:multiLevelType w:val="hybridMultilevel"/>
    <w:tmpl w:val="FFA0577E"/>
    <w:lvl w:ilvl="0" w:tplc="14822A5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AC86B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29CE16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E90CF4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89073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16EAD0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3022B5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6541B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8CAB246">
      <w:numFmt w:val="decimal"/>
      <w:lvlText w:val=""/>
      <w:lvlJc w:val="left"/>
    </w:lvl>
  </w:abstractNum>
  <w:abstractNum w:abstractNumId="7" w15:restartNumberingAfterBreak="0">
    <w:nsid w:val="2E703E2A"/>
    <w:multiLevelType w:val="hybridMultilevel"/>
    <w:tmpl w:val="1BBE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120A4"/>
    <w:multiLevelType w:val="hybridMultilevel"/>
    <w:tmpl w:val="0C2EA2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5713E"/>
    <w:multiLevelType w:val="hybridMultilevel"/>
    <w:tmpl w:val="4C5491CA"/>
    <w:lvl w:ilvl="0" w:tplc="990044C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9784E7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10277F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CE8ECF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EAC1B7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612274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854AAF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570A6F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484E65C">
      <w:numFmt w:val="decimal"/>
      <w:lvlText w:val=""/>
      <w:lvlJc w:val="left"/>
    </w:lvl>
  </w:abstractNum>
  <w:abstractNum w:abstractNumId="10" w15:restartNumberingAfterBreak="0">
    <w:nsid w:val="43542481"/>
    <w:multiLevelType w:val="hybridMultilevel"/>
    <w:tmpl w:val="578CE8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50496"/>
    <w:multiLevelType w:val="hybridMultilevel"/>
    <w:tmpl w:val="1974DB36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5C7250D5"/>
    <w:multiLevelType w:val="hybridMultilevel"/>
    <w:tmpl w:val="9B4E7D2C"/>
    <w:lvl w:ilvl="0" w:tplc="0409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5CA74A70"/>
    <w:multiLevelType w:val="hybridMultilevel"/>
    <w:tmpl w:val="CA08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D449F"/>
    <w:multiLevelType w:val="hybridMultilevel"/>
    <w:tmpl w:val="76701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20962"/>
    <w:multiLevelType w:val="hybridMultilevel"/>
    <w:tmpl w:val="533C9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B24A3"/>
    <w:multiLevelType w:val="hybridMultilevel"/>
    <w:tmpl w:val="83B8AF02"/>
    <w:lvl w:ilvl="0" w:tplc="57721B6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E0ABB7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1A2EF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71A4C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C34CBB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C82AB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1A69CD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8D63C8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FE07ABA">
      <w:numFmt w:val="decimal"/>
      <w:lvlText w:val=""/>
      <w:lvlJc w:val="left"/>
    </w:lvl>
  </w:abstractNum>
  <w:num w:numId="1" w16cid:durableId="2092966212">
    <w:abstractNumId w:val="6"/>
  </w:num>
  <w:num w:numId="2" w16cid:durableId="1570379870">
    <w:abstractNumId w:val="9"/>
  </w:num>
  <w:num w:numId="3" w16cid:durableId="1739938036">
    <w:abstractNumId w:val="4"/>
  </w:num>
  <w:num w:numId="4" w16cid:durableId="27730002">
    <w:abstractNumId w:val="1"/>
  </w:num>
  <w:num w:numId="5" w16cid:durableId="1348561325">
    <w:abstractNumId w:val="16"/>
  </w:num>
  <w:num w:numId="6" w16cid:durableId="2039818744">
    <w:abstractNumId w:val="0"/>
  </w:num>
  <w:num w:numId="7" w16cid:durableId="1613976212">
    <w:abstractNumId w:val="8"/>
  </w:num>
  <w:num w:numId="8" w16cid:durableId="1214922352">
    <w:abstractNumId w:val="5"/>
  </w:num>
  <w:num w:numId="9" w16cid:durableId="744843716">
    <w:abstractNumId w:val="10"/>
  </w:num>
  <w:num w:numId="10" w16cid:durableId="790132562">
    <w:abstractNumId w:val="12"/>
  </w:num>
  <w:num w:numId="11" w16cid:durableId="669911733">
    <w:abstractNumId w:val="15"/>
  </w:num>
  <w:num w:numId="12" w16cid:durableId="1015762823">
    <w:abstractNumId w:val="11"/>
  </w:num>
  <w:num w:numId="13" w16cid:durableId="496774561">
    <w:abstractNumId w:val="7"/>
  </w:num>
  <w:num w:numId="14" w16cid:durableId="784229829">
    <w:abstractNumId w:val="2"/>
  </w:num>
  <w:num w:numId="15" w16cid:durableId="1075863146">
    <w:abstractNumId w:val="14"/>
  </w:num>
  <w:num w:numId="16" w16cid:durableId="102696446">
    <w:abstractNumId w:val="3"/>
  </w:num>
  <w:num w:numId="17" w16cid:durableId="4675482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1FC"/>
    <w:rsid w:val="002211FC"/>
    <w:rsid w:val="003A0AAD"/>
    <w:rsid w:val="00481FF7"/>
    <w:rsid w:val="006250E2"/>
    <w:rsid w:val="00731AA0"/>
    <w:rsid w:val="00881041"/>
    <w:rsid w:val="00943F41"/>
    <w:rsid w:val="00A07252"/>
    <w:rsid w:val="00C54056"/>
    <w:rsid w:val="00DB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91C274"/>
  <w15:docId w15:val="{5493313D-FF8E-9A4C-8629-8155C7FD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AA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qFormat/>
    <w:rsid w:val="003A0AA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A0AAD"/>
    <w:rPr>
      <w:sz w:val="20"/>
      <w:szCs w:val="20"/>
    </w:rPr>
  </w:style>
  <w:style w:type="character" w:styleId="FootnoteReference">
    <w:name w:val="footnote reference"/>
    <w:aliases w:val="ftref,16 Point,Superscript 6 Point,Superscript 6 Point + 11 pt,referencia nota al pie,Fußnotenzeichen DISS,Footnote Reference1,Ref,de nota al pie,Footnote Reference Number,Footnote Reference_LVL6,Footnote Reference_LVL61,E FNZ,callout"/>
    <w:basedOn w:val="DefaultParagraphFont"/>
    <w:uiPriority w:val="99"/>
    <w:unhideWhenUsed/>
    <w:qFormat/>
    <w:rsid w:val="003A0AA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A0AA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A0AAD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A0AAD"/>
    <w:pPr>
      <w:contextualSpacing/>
      <w:jc w:val="center"/>
    </w:pPr>
    <w:rPr>
      <w:rFonts w:ascii="Bodoni 72 Book" w:eastAsiaTheme="majorEastAsia" w:hAnsi="Bodoni 72 Book" w:cstheme="majorBidi"/>
      <w:sz w:val="56"/>
      <w:szCs w:val="56"/>
      <w:lang w:val="es-419"/>
    </w:rPr>
  </w:style>
  <w:style w:type="character" w:customStyle="1" w:styleId="TitleChar">
    <w:name w:val="Title Char"/>
    <w:basedOn w:val="DefaultParagraphFont"/>
    <w:link w:val="Title"/>
    <w:uiPriority w:val="10"/>
    <w:rsid w:val="003A0AAD"/>
    <w:rPr>
      <w:rFonts w:ascii="Bodoni 72 Book" w:eastAsiaTheme="majorEastAsia" w:hAnsi="Bodoni 72 Book" w:cstheme="majorBidi"/>
      <w:sz w:val="56"/>
      <w:szCs w:val="56"/>
      <w:lang w:val="es-419"/>
    </w:rPr>
  </w:style>
  <w:style w:type="table" w:styleId="PlainTable1">
    <w:name w:val="Plain Table 1"/>
    <w:basedOn w:val="TableNormal"/>
    <w:uiPriority w:val="41"/>
    <w:rsid w:val="00DB4FA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limatelawandpolic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23</Pages>
  <Words>4317</Words>
  <Characters>24609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Bruna Oliveira</cp:lastModifiedBy>
  <cp:revision>7</cp:revision>
  <dcterms:created xsi:type="dcterms:W3CDTF">2024-06-02T15:49:00Z</dcterms:created>
  <dcterms:modified xsi:type="dcterms:W3CDTF">2024-06-02T23:52:00Z</dcterms:modified>
</cp:coreProperties>
</file>