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48487" w14:textId="77777777" w:rsidR="00461F5C" w:rsidRDefault="00000000">
      <w:pPr>
        <w:spacing w:before="120" w:after="120"/>
        <w:jc w:val="center"/>
      </w:pPr>
      <w:r>
        <w:rPr>
          <w:noProof/>
        </w:rPr>
        <w:drawing>
          <wp:anchor distT="0" distB="0" distL="114300" distR="114300" simplePos="0" relativeHeight="251658240" behindDoc="0" locked="0" layoutInCell="1" allowOverlap="1" wp14:anchorId="64E1E6D4" wp14:editId="4961303A">
            <wp:simplePos x="0" y="0"/>
            <wp:positionH relativeFrom="page">
              <wp:posOffset>0</wp:posOffset>
            </wp:positionH>
            <wp:positionV relativeFrom="paragraph">
              <wp:posOffset>0</wp:posOffset>
            </wp:positionV>
            <wp:extent cx="7562850" cy="2268855"/>
            <wp:effectExtent l="0" t="0" r="0" b="0"/>
            <wp:wrapTopAndBottom/>
            <wp:docPr id="1" name="Drawing 0" descr="1709945e0a7c222e655fa0eba5d8b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709945e0a7c222e655fa0eba5d8b970.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7A3B3F3E" w14:textId="7B92077E" w:rsidR="00461F5C" w:rsidRDefault="00331991">
      <w:pPr>
        <w:spacing w:before="120" w:after="120" w:line="336" w:lineRule="auto"/>
        <w:rPr>
          <w:rFonts w:ascii="Bodoni 72 Book" w:eastAsia="Prata" w:hAnsi="Bodoni 72 Book" w:cs="Prata"/>
          <w:color w:val="0E361A"/>
          <w:sz w:val="64"/>
          <w:szCs w:val="64"/>
        </w:rPr>
      </w:pPr>
      <w:r>
        <w:rPr>
          <w:rFonts w:ascii="Bodoni 72 Book" w:eastAsia="Prata" w:hAnsi="Bodoni 72 Book" w:cs="Prata"/>
          <w:color w:val="0E361A"/>
          <w:sz w:val="64"/>
          <w:szCs w:val="64"/>
        </w:rPr>
        <w:t>How to navigate this tool?</w:t>
      </w:r>
      <w:r w:rsidRPr="00331991">
        <w:rPr>
          <w:rFonts w:ascii="Bodoni 72 Book" w:eastAsia="Prata" w:hAnsi="Bodoni 72 Book" w:cs="Prata"/>
          <w:color w:val="0E361A"/>
          <w:sz w:val="64"/>
          <w:szCs w:val="64"/>
        </w:rPr>
        <w:t xml:space="preserve"> </w:t>
      </w:r>
    </w:p>
    <w:p w14:paraId="58243C65" w14:textId="77777777" w:rsidR="00FA49D6" w:rsidRPr="00FA49D6" w:rsidRDefault="00FA49D6" w:rsidP="00FA49D6">
      <w:pPr>
        <w:spacing w:before="120" w:after="120" w:line="336" w:lineRule="auto"/>
        <w:rPr>
          <w:rFonts w:ascii="Avenir Next" w:eastAsia="IBM Plex Sans" w:hAnsi="Avenir Next" w:cs="IBM Plex Sans"/>
          <w:color w:val="000000" w:themeColor="text1"/>
          <w:sz w:val="20"/>
          <w:szCs w:val="20"/>
        </w:rPr>
      </w:pPr>
      <w:r w:rsidRPr="00FA49D6">
        <w:rPr>
          <w:rFonts w:ascii="Avenir Next" w:eastAsia="IBM Plex Sans" w:hAnsi="Avenir Next" w:cs="IBM Plex Sans"/>
          <w:color w:val="000000" w:themeColor="text1"/>
          <w:sz w:val="20"/>
          <w:szCs w:val="20"/>
        </w:rPr>
        <w:t xml:space="preserve">This tool is divided into two sections: </w:t>
      </w:r>
    </w:p>
    <w:p w14:paraId="53C90666" w14:textId="77777777" w:rsidR="00FA49D6" w:rsidRPr="00FA49D6" w:rsidRDefault="00FA49D6" w:rsidP="00FA49D6">
      <w:pPr>
        <w:pStyle w:val="ListParagraph"/>
        <w:numPr>
          <w:ilvl w:val="0"/>
          <w:numId w:val="12"/>
        </w:numPr>
        <w:spacing w:before="120" w:after="120" w:line="336" w:lineRule="auto"/>
        <w:rPr>
          <w:rFonts w:ascii="Avenir Next" w:hAnsi="Avenir Next"/>
          <w:color w:val="000000" w:themeColor="text1"/>
          <w:sz w:val="20"/>
          <w:szCs w:val="20"/>
        </w:rPr>
      </w:pPr>
      <w:r w:rsidRPr="00FA49D6">
        <w:rPr>
          <w:rFonts w:ascii="Avenir Next" w:eastAsia="IBM Plex Sans Bold" w:hAnsi="Avenir Next" w:cs="IBM Plex Sans Bold"/>
          <w:b/>
          <w:bCs/>
          <w:color w:val="000000" w:themeColor="text1"/>
          <w:sz w:val="20"/>
          <w:szCs w:val="20"/>
        </w:rPr>
        <w:t>Section A:</w:t>
      </w:r>
      <w:r w:rsidRPr="00FA49D6">
        <w:rPr>
          <w:rFonts w:ascii="Avenir Next" w:eastAsia="IBM Plex Sans" w:hAnsi="Avenir Next" w:cs="IBM Plex Sans"/>
          <w:color w:val="000000" w:themeColor="text1"/>
          <w:sz w:val="20"/>
          <w:szCs w:val="20"/>
        </w:rPr>
        <w:t xml:space="preserve"> presents the screening questionnaire, which guides users through the identification of the J-REDD+ programs’ safeguards elements, including the identification of any gaps.</w:t>
      </w:r>
    </w:p>
    <w:p w14:paraId="3155A4C6" w14:textId="7669CC21" w:rsidR="00FA49D6" w:rsidRPr="00FA49D6" w:rsidRDefault="00FA49D6" w:rsidP="00FA49D6">
      <w:pPr>
        <w:pStyle w:val="ListParagraph"/>
        <w:numPr>
          <w:ilvl w:val="0"/>
          <w:numId w:val="12"/>
        </w:numPr>
        <w:spacing w:before="120" w:after="120" w:line="336" w:lineRule="auto"/>
        <w:rPr>
          <w:rFonts w:ascii="Avenir Next" w:hAnsi="Avenir Next"/>
          <w:color w:val="000000" w:themeColor="text1"/>
          <w:sz w:val="20"/>
          <w:szCs w:val="20"/>
        </w:rPr>
      </w:pPr>
      <w:r w:rsidRPr="00FA49D6">
        <w:rPr>
          <w:rFonts w:ascii="Avenir Next" w:eastAsia="IBM Plex Sans Bold" w:hAnsi="Avenir Next" w:cs="IBM Plex Sans Bold"/>
          <w:b/>
          <w:bCs/>
          <w:color w:val="000000" w:themeColor="text1"/>
          <w:sz w:val="20"/>
          <w:szCs w:val="20"/>
        </w:rPr>
        <w:t>Section B</w:t>
      </w:r>
      <w:r w:rsidRPr="00FA49D6">
        <w:rPr>
          <w:rFonts w:ascii="Avenir Next" w:eastAsia="IBM Plex Sans" w:hAnsi="Avenir Next" w:cs="IBM Plex Sans"/>
          <w:color w:val="000000" w:themeColor="text1"/>
          <w:sz w:val="20"/>
          <w:szCs w:val="20"/>
        </w:rPr>
        <w:t>: presents a ‘J-REDD Safeguards Screening Report’ template, that is to be completed based on the results from Section ‘A’, and will be used to inform the scope of the qualitative review.</w:t>
      </w:r>
    </w:p>
    <w:p w14:paraId="480D8BAD" w14:textId="77777777" w:rsidR="00FA49D6" w:rsidRDefault="00FA49D6" w:rsidP="00331991">
      <w:pPr>
        <w:spacing w:before="120" w:after="120" w:line="336" w:lineRule="auto"/>
        <w:rPr>
          <w:rFonts w:ascii="Bodoni 72 Book" w:eastAsia="Montserrat" w:hAnsi="Bodoni 72 Book" w:cs="Montserrat"/>
          <w:color w:val="0E361A"/>
          <w:sz w:val="64"/>
          <w:szCs w:val="64"/>
        </w:rPr>
      </w:pPr>
    </w:p>
    <w:p w14:paraId="432FDE20" w14:textId="77777777" w:rsidR="00FA49D6" w:rsidRDefault="00FA49D6" w:rsidP="00331991">
      <w:pPr>
        <w:spacing w:before="120" w:after="120" w:line="336" w:lineRule="auto"/>
        <w:rPr>
          <w:rFonts w:ascii="Bodoni 72 Book" w:eastAsia="Montserrat" w:hAnsi="Bodoni 72 Book" w:cs="Montserrat"/>
          <w:color w:val="0E361A"/>
          <w:sz w:val="64"/>
          <w:szCs w:val="64"/>
        </w:rPr>
      </w:pPr>
    </w:p>
    <w:p w14:paraId="02AE2DEC" w14:textId="77777777" w:rsidR="00FA49D6" w:rsidRDefault="00FA49D6" w:rsidP="00331991">
      <w:pPr>
        <w:spacing w:before="120" w:after="120" w:line="336" w:lineRule="auto"/>
        <w:rPr>
          <w:rFonts w:ascii="Bodoni 72 Book" w:eastAsia="Montserrat" w:hAnsi="Bodoni 72 Book" w:cs="Montserrat"/>
          <w:color w:val="0E361A"/>
          <w:sz w:val="64"/>
          <w:szCs w:val="64"/>
        </w:rPr>
      </w:pPr>
    </w:p>
    <w:p w14:paraId="61E6387B" w14:textId="77777777" w:rsidR="00FA49D6" w:rsidRDefault="00FA49D6" w:rsidP="00331991">
      <w:pPr>
        <w:spacing w:before="120" w:after="120" w:line="336" w:lineRule="auto"/>
        <w:rPr>
          <w:rFonts w:ascii="Bodoni 72 Book" w:eastAsia="Montserrat" w:hAnsi="Bodoni 72 Book" w:cs="Montserrat"/>
          <w:color w:val="0E361A"/>
          <w:sz w:val="64"/>
          <w:szCs w:val="64"/>
        </w:rPr>
      </w:pPr>
    </w:p>
    <w:p w14:paraId="3A672266" w14:textId="77777777" w:rsidR="00FA49D6" w:rsidRDefault="00FA49D6" w:rsidP="00331991">
      <w:pPr>
        <w:spacing w:before="120" w:after="120" w:line="336" w:lineRule="auto"/>
        <w:rPr>
          <w:rFonts w:ascii="Bodoni 72 Book" w:eastAsia="Montserrat" w:hAnsi="Bodoni 72 Book" w:cs="Montserrat"/>
          <w:color w:val="0E361A"/>
          <w:sz w:val="64"/>
          <w:szCs w:val="64"/>
        </w:rPr>
      </w:pPr>
    </w:p>
    <w:p w14:paraId="693C23E7" w14:textId="219F81B1" w:rsidR="00331991" w:rsidRPr="00331991" w:rsidRDefault="00331991" w:rsidP="00331991">
      <w:pPr>
        <w:spacing w:before="120" w:after="120" w:line="336" w:lineRule="auto"/>
        <w:rPr>
          <w:rFonts w:ascii="Bodoni 72 Book" w:hAnsi="Bodoni 72 Book"/>
          <w:color w:val="0E361A"/>
        </w:rPr>
      </w:pPr>
      <w:r w:rsidRPr="00331991">
        <w:rPr>
          <w:rFonts w:ascii="Bodoni 72 Book" w:eastAsia="Montserrat" w:hAnsi="Bodoni 72 Book" w:cs="Montserrat"/>
          <w:color w:val="0E361A"/>
          <w:sz w:val="64"/>
          <w:szCs w:val="64"/>
        </w:rPr>
        <w:lastRenderedPageBreak/>
        <w:t xml:space="preserve">Section A - Questionnaire </w:t>
      </w:r>
    </w:p>
    <w:p w14:paraId="2BDB463C" w14:textId="77777777" w:rsidR="00331991" w:rsidRPr="00031D7C" w:rsidRDefault="00331991" w:rsidP="00331991">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To complete this questionnaire users should consider the scope of each column as follows:  </w:t>
      </w:r>
    </w:p>
    <w:p w14:paraId="1622305C" w14:textId="20E17255" w:rsidR="00331991" w:rsidRPr="00031D7C" w:rsidRDefault="00331991" w:rsidP="00331991">
      <w:pPr>
        <w:numPr>
          <w:ilvl w:val="0"/>
          <w:numId w:val="13"/>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Questions</w:t>
      </w:r>
      <w:r w:rsidRPr="00031D7C">
        <w:rPr>
          <w:rFonts w:ascii="Avenir Next" w:eastAsia="IBM Plex Sans" w:hAnsi="Avenir Next" w:cs="IBM Plex Sans"/>
          <w:color w:val="000000"/>
          <w:sz w:val="20"/>
          <w:szCs w:val="20"/>
        </w:rPr>
        <w:t>: presents guiding questions for the users</w:t>
      </w:r>
      <w:r>
        <w:rPr>
          <w:rFonts w:ascii="Avenir Next" w:eastAsia="IBM Plex Sans" w:hAnsi="Avenir Next" w:cs="IBM Plex Sans"/>
          <w:color w:val="000000"/>
          <w:sz w:val="20"/>
          <w:szCs w:val="20"/>
        </w:rPr>
        <w:t xml:space="preserve">, which aim to understand the scope of development of these elements, without going into any qualitative aspects. </w:t>
      </w:r>
    </w:p>
    <w:p w14:paraId="38A5F49E" w14:textId="77777777" w:rsidR="00331991" w:rsidRPr="00031D7C" w:rsidRDefault="00331991" w:rsidP="00331991">
      <w:pPr>
        <w:numPr>
          <w:ilvl w:val="0"/>
          <w:numId w:val="13"/>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Scoring:</w:t>
      </w:r>
      <w:r w:rsidRPr="00031D7C">
        <w:rPr>
          <w:rFonts w:ascii="Avenir Next" w:eastAsia="IBM Plex Sans" w:hAnsi="Avenir Next" w:cs="IBM Plex Sans"/>
          <w:color w:val="000000"/>
          <w:sz w:val="20"/>
          <w:szCs w:val="20"/>
        </w:rPr>
        <w:t xml:space="preserve"> the following scoring guide should be applied by users: </w:t>
      </w:r>
    </w:p>
    <w:p w14:paraId="51A617E8" w14:textId="4CBB78A7" w:rsidR="00331991" w:rsidRPr="00031D7C" w:rsidRDefault="00331991" w:rsidP="00331991">
      <w:pPr>
        <w:numPr>
          <w:ilvl w:val="1"/>
          <w:numId w:val="13"/>
        </w:numPr>
        <w:spacing w:line="336" w:lineRule="auto"/>
        <w:rPr>
          <w:rFonts w:ascii="Avenir Next" w:hAnsi="Avenir Next"/>
          <w:sz w:val="20"/>
          <w:szCs w:val="20"/>
        </w:rPr>
      </w:pPr>
      <w:r w:rsidRPr="00031D7C">
        <w:rPr>
          <w:rFonts w:ascii="Avenir Next" w:hAnsi="Avenir Next"/>
          <w:noProof/>
          <w:sz w:val="20"/>
          <w:szCs w:val="20"/>
        </w:rPr>
        <w:drawing>
          <wp:anchor distT="0" distB="0" distL="114300" distR="114300" simplePos="0" relativeHeight="251661312" behindDoc="1" locked="0" layoutInCell="1" allowOverlap="1" wp14:anchorId="53A2A473" wp14:editId="0159158B">
            <wp:simplePos x="0" y="0"/>
            <wp:positionH relativeFrom="column">
              <wp:posOffset>3594735</wp:posOffset>
            </wp:positionH>
            <wp:positionV relativeFrom="paragraph">
              <wp:posOffset>11430</wp:posOffset>
            </wp:positionV>
            <wp:extent cx="335915" cy="268605"/>
            <wp:effectExtent l="0" t="0" r="0" b="0"/>
            <wp:wrapSquare wrapText="bothSides"/>
            <wp:docPr id="26"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Bold" w:hAnsi="Avenir Next" w:cs="IBM Plex Sans Bold"/>
          <w:b/>
          <w:bCs/>
          <w:color w:val="000000"/>
          <w:sz w:val="20"/>
          <w:szCs w:val="20"/>
        </w:rPr>
        <w:t>Yes:</w:t>
      </w:r>
      <w:r w:rsidRPr="00031D7C">
        <w:rPr>
          <w:rFonts w:ascii="Avenir Next" w:eastAsia="IBM Plex Sans" w:hAnsi="Avenir Next" w:cs="IBM Plex Sans"/>
          <w:color w:val="000000"/>
          <w:sz w:val="20"/>
          <w:szCs w:val="20"/>
        </w:rPr>
        <w:t xml:space="preserve"> The </w:t>
      </w:r>
      <w:r>
        <w:rPr>
          <w:rFonts w:ascii="Avenir Next" w:eastAsia="IBM Plex Sans" w:hAnsi="Avenir Next" w:cs="IBM Plex Sans"/>
          <w:color w:val="000000"/>
          <w:sz w:val="20"/>
          <w:szCs w:val="20"/>
        </w:rPr>
        <w:t>J-REDD+ program</w:t>
      </w:r>
      <w:r w:rsidRPr="00031D7C">
        <w:rPr>
          <w:rFonts w:ascii="Avenir Next" w:eastAsia="IBM Plex Sans" w:hAnsi="Avenir Next" w:cs="IBM Plex Sans"/>
          <w:color w:val="000000"/>
          <w:sz w:val="20"/>
          <w:szCs w:val="20"/>
        </w:rPr>
        <w:t xml:space="preserve"> </w:t>
      </w:r>
      <w:r>
        <w:rPr>
          <w:rFonts w:ascii="Avenir Next" w:eastAsia="IBM Plex Sans" w:hAnsi="Avenir Next" w:cs="IBM Plex Sans"/>
          <w:color w:val="000000"/>
          <w:sz w:val="20"/>
          <w:szCs w:val="20"/>
        </w:rPr>
        <w:t xml:space="preserve">addresses the criteria. </w:t>
      </w:r>
      <w:r w:rsidRPr="00031D7C">
        <w:rPr>
          <w:rFonts w:ascii="Avenir Next" w:eastAsia="IBM Plex Sans" w:hAnsi="Avenir Next" w:cs="IBM Plex Sans"/>
          <w:color w:val="000000"/>
          <w:sz w:val="20"/>
          <w:szCs w:val="20"/>
        </w:rPr>
        <w:t xml:space="preserve">  </w:t>
      </w:r>
    </w:p>
    <w:p w14:paraId="38A21FA5" w14:textId="145286C0" w:rsidR="00331991" w:rsidRPr="00331991" w:rsidRDefault="00FA49D6" w:rsidP="00331991">
      <w:pPr>
        <w:numPr>
          <w:ilvl w:val="1"/>
          <w:numId w:val="13"/>
        </w:numPr>
        <w:spacing w:line="336" w:lineRule="auto"/>
        <w:rPr>
          <w:rFonts w:ascii="Avenir Next" w:hAnsi="Avenir Next"/>
          <w:sz w:val="20"/>
          <w:szCs w:val="20"/>
        </w:rPr>
      </w:pPr>
      <w:r>
        <w:rPr>
          <w:noProof/>
        </w:rPr>
        <w:drawing>
          <wp:anchor distT="0" distB="0" distL="114300" distR="114300" simplePos="0" relativeHeight="251662336" behindDoc="0" locked="0" layoutInCell="1" allowOverlap="1" wp14:anchorId="09D0D7B7" wp14:editId="3C1CCDFE">
            <wp:simplePos x="0" y="0"/>
            <wp:positionH relativeFrom="column">
              <wp:posOffset>4090670</wp:posOffset>
            </wp:positionH>
            <wp:positionV relativeFrom="paragraph">
              <wp:posOffset>231140</wp:posOffset>
            </wp:positionV>
            <wp:extent cx="322580" cy="281940"/>
            <wp:effectExtent l="0" t="0" r="0" b="0"/>
            <wp:wrapSquare wrapText="bothSides"/>
            <wp:docPr id="28"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00331991" w:rsidRPr="00331991">
        <w:rPr>
          <w:rFonts w:ascii="Avenir Next" w:eastAsia="IBM Plex Sans Bold" w:hAnsi="Avenir Next" w:cs="IBM Plex Sans Bold"/>
          <w:b/>
          <w:bCs/>
          <w:color w:val="000000"/>
          <w:sz w:val="20"/>
          <w:szCs w:val="20"/>
        </w:rPr>
        <w:t>Partially:</w:t>
      </w:r>
      <w:r w:rsidR="00331991" w:rsidRPr="00331991">
        <w:rPr>
          <w:rFonts w:ascii="Avenir Next" w:eastAsia="IBM Plex Sans" w:hAnsi="Avenir Next" w:cs="IBM Plex Sans"/>
          <w:color w:val="000000"/>
          <w:sz w:val="20"/>
          <w:szCs w:val="20"/>
        </w:rPr>
        <w:t xml:space="preserve"> The J-REDD+ program </w:t>
      </w:r>
      <w:r w:rsidR="00331991">
        <w:rPr>
          <w:rFonts w:ascii="Avenir Next" w:eastAsia="IBM Plex Sans" w:hAnsi="Avenir Next" w:cs="IBM Plex Sans"/>
          <w:color w:val="000000"/>
          <w:sz w:val="20"/>
          <w:szCs w:val="20"/>
        </w:rPr>
        <w:t>addresses the criteria.</w:t>
      </w:r>
      <w:r w:rsidR="00331991">
        <w:rPr>
          <w:noProof/>
        </w:rPr>
        <w:t xml:space="preserve"> </w:t>
      </w:r>
    </w:p>
    <w:p w14:paraId="6FC4D0FA" w14:textId="54D9F5CB" w:rsidR="00331991" w:rsidRPr="00331991" w:rsidRDefault="00331991" w:rsidP="00331991">
      <w:pPr>
        <w:numPr>
          <w:ilvl w:val="1"/>
          <w:numId w:val="13"/>
        </w:numPr>
        <w:spacing w:line="336" w:lineRule="auto"/>
        <w:rPr>
          <w:rFonts w:ascii="Avenir Next" w:hAnsi="Avenir Next"/>
          <w:sz w:val="20"/>
          <w:szCs w:val="20"/>
        </w:rPr>
      </w:pPr>
      <w:r w:rsidRPr="00331991">
        <w:rPr>
          <w:rFonts w:ascii="Avenir Next" w:eastAsia="IBM Plex Sans" w:hAnsi="Avenir Next" w:cs="IBM Plex Sans"/>
          <w:color w:val="000000"/>
          <w:sz w:val="20"/>
          <w:szCs w:val="20"/>
        </w:rPr>
        <w:t xml:space="preserve"> </w:t>
      </w:r>
      <w:r w:rsidRPr="00331991">
        <w:rPr>
          <w:rFonts w:ascii="Avenir Next" w:eastAsia="IBM Plex Sans Bold" w:hAnsi="Avenir Next" w:cs="IBM Plex Sans Bold"/>
          <w:b/>
          <w:bCs/>
          <w:color w:val="000000"/>
          <w:sz w:val="20"/>
          <w:szCs w:val="20"/>
        </w:rPr>
        <w:t>No</w:t>
      </w:r>
      <w:r w:rsidRPr="00331991">
        <w:rPr>
          <w:rFonts w:ascii="Avenir Next" w:eastAsia="IBM Plex Sans" w:hAnsi="Avenir Next" w:cs="IBM Plex Sans"/>
          <w:color w:val="000000"/>
          <w:sz w:val="20"/>
          <w:szCs w:val="20"/>
        </w:rPr>
        <w:t xml:space="preserve">: The J-REDD+ program does not </w:t>
      </w:r>
      <w:r>
        <w:rPr>
          <w:rFonts w:ascii="Avenir Next" w:eastAsia="IBM Plex Sans" w:hAnsi="Avenir Next" w:cs="IBM Plex Sans"/>
          <w:color w:val="000000"/>
          <w:sz w:val="20"/>
          <w:szCs w:val="20"/>
        </w:rPr>
        <w:t>address the criteria</w:t>
      </w:r>
      <w:r>
        <w:rPr>
          <w:noProof/>
        </w:rPr>
        <w:t xml:space="preserve">. </w:t>
      </w:r>
    </w:p>
    <w:p w14:paraId="6C91E78D" w14:textId="3EB9811B" w:rsidR="00331991" w:rsidRPr="00031D7C" w:rsidRDefault="00331991" w:rsidP="00331991">
      <w:pPr>
        <w:numPr>
          <w:ilvl w:val="0"/>
          <w:numId w:val="13"/>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Findings</w:t>
      </w:r>
      <w:r w:rsidRPr="00031D7C">
        <w:rPr>
          <w:rFonts w:ascii="Avenir Next" w:eastAsia="IBM Plex Sans" w:hAnsi="Avenir Next" w:cs="IBM Plex Sans"/>
          <w:color w:val="000000"/>
          <w:sz w:val="20"/>
          <w:szCs w:val="20"/>
        </w:rPr>
        <w:t xml:space="preserve">: </w:t>
      </w:r>
      <w:r w:rsidR="00635BAF">
        <w:rPr>
          <w:rFonts w:ascii="Avenir Next" w:eastAsia="IBM Plex Sans" w:hAnsi="Avenir Next" w:cs="IBM Plex Sans"/>
          <w:color w:val="000000"/>
          <w:sz w:val="20"/>
          <w:szCs w:val="20"/>
        </w:rPr>
        <w:t xml:space="preserve">an </w:t>
      </w:r>
      <w:r w:rsidRPr="00031D7C">
        <w:rPr>
          <w:rFonts w:ascii="Avenir Next" w:eastAsia="IBM Plex Sans" w:hAnsi="Avenir Next" w:cs="IBM Plex Sans"/>
          <w:color w:val="000000"/>
          <w:sz w:val="20"/>
          <w:szCs w:val="20"/>
        </w:rPr>
        <w:t xml:space="preserve">opportunity for users to offer information and/or clarifications in relation </w:t>
      </w:r>
      <w:r w:rsidR="00635BAF">
        <w:rPr>
          <w:rFonts w:ascii="Avenir Next" w:eastAsia="IBM Plex Sans" w:hAnsi="Avenir Next" w:cs="IBM Plex Sans"/>
          <w:color w:val="000000"/>
          <w:sz w:val="20"/>
          <w:szCs w:val="20"/>
        </w:rPr>
        <w:t xml:space="preserve">to </w:t>
      </w:r>
      <w:r w:rsidRPr="00031D7C">
        <w:rPr>
          <w:rFonts w:ascii="Avenir Next" w:eastAsia="IBM Plex Sans" w:hAnsi="Avenir Next" w:cs="IBM Plex Sans"/>
          <w:color w:val="000000"/>
          <w:sz w:val="20"/>
          <w:szCs w:val="20"/>
        </w:rPr>
        <w:t xml:space="preserve">their scoring. </w:t>
      </w:r>
    </w:p>
    <w:p w14:paraId="346CF93F" w14:textId="77777777" w:rsidR="00331991" w:rsidRPr="00C878E5" w:rsidRDefault="00331991" w:rsidP="00331991">
      <w:pPr>
        <w:numPr>
          <w:ilvl w:val="0"/>
          <w:numId w:val="13"/>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Means of verification:</w:t>
      </w:r>
      <w:r w:rsidRPr="00031D7C">
        <w:rPr>
          <w:rFonts w:ascii="Avenir Next" w:eastAsia="IBM Plex Sans" w:hAnsi="Avenir Next" w:cs="IBM Plex Sans"/>
          <w:color w:val="000000"/>
          <w:sz w:val="20"/>
          <w:szCs w:val="20"/>
        </w:rPr>
        <w:t xml:space="preserve"> users should identify any documentation used to support their scoring, including hyperlinks with additional information.  </w:t>
      </w:r>
    </w:p>
    <w:p w14:paraId="48AF84FC" w14:textId="77777777" w:rsidR="00331991" w:rsidRDefault="00331991">
      <w:pPr>
        <w:spacing w:before="120" w:after="120" w:line="336" w:lineRule="auto"/>
        <w:rPr>
          <w:rFonts w:ascii="Montserrat" w:eastAsia="Montserrat" w:hAnsi="Montserrat" w:cs="Montserrat"/>
          <w:color w:val="00646A"/>
          <w:sz w:val="64"/>
          <w:szCs w:val="64"/>
        </w:rPr>
      </w:pPr>
    </w:p>
    <w:p w14:paraId="23329F73" w14:textId="77777777" w:rsidR="00331991" w:rsidRDefault="00331991">
      <w:pPr>
        <w:spacing w:before="120" w:after="120" w:line="336" w:lineRule="auto"/>
        <w:rPr>
          <w:rFonts w:ascii="Montserrat" w:eastAsia="Montserrat" w:hAnsi="Montserrat" w:cs="Montserrat"/>
          <w:color w:val="00646A"/>
          <w:sz w:val="64"/>
          <w:szCs w:val="64"/>
        </w:rPr>
      </w:pPr>
    </w:p>
    <w:p w14:paraId="0C5B1937" w14:textId="77777777" w:rsidR="00331991" w:rsidRDefault="00331991">
      <w:pPr>
        <w:spacing w:before="120" w:after="120" w:line="336" w:lineRule="auto"/>
        <w:rPr>
          <w:rFonts w:ascii="Montserrat" w:eastAsia="Montserrat" w:hAnsi="Montserrat" w:cs="Montserrat"/>
          <w:color w:val="00646A"/>
          <w:sz w:val="64"/>
          <w:szCs w:val="64"/>
        </w:rPr>
      </w:pPr>
    </w:p>
    <w:p w14:paraId="2B7B3128" w14:textId="77777777" w:rsidR="00331991" w:rsidRDefault="00331991">
      <w:pPr>
        <w:spacing w:before="120" w:after="120" w:line="336" w:lineRule="auto"/>
        <w:rPr>
          <w:rFonts w:ascii="Montserrat" w:eastAsia="Montserrat" w:hAnsi="Montserrat" w:cs="Montserrat"/>
          <w:color w:val="00646A"/>
          <w:sz w:val="64"/>
          <w:szCs w:val="64"/>
        </w:rPr>
      </w:pPr>
    </w:p>
    <w:p w14:paraId="622687FA" w14:textId="77777777" w:rsidR="00331991" w:rsidRDefault="00331991">
      <w:pPr>
        <w:spacing w:before="120" w:after="120" w:line="336" w:lineRule="auto"/>
        <w:rPr>
          <w:rFonts w:ascii="Montserrat" w:eastAsia="Montserrat" w:hAnsi="Montserrat" w:cs="Montserrat"/>
          <w:color w:val="00646A"/>
          <w:sz w:val="64"/>
          <w:szCs w:val="64"/>
        </w:rPr>
      </w:pPr>
    </w:p>
    <w:p w14:paraId="30E760AB" w14:textId="77777777" w:rsidR="00331991" w:rsidRDefault="00331991">
      <w:pPr>
        <w:spacing w:before="120" w:after="120" w:line="336" w:lineRule="auto"/>
        <w:rPr>
          <w:rFonts w:ascii="Montserrat" w:eastAsia="Montserrat" w:hAnsi="Montserrat" w:cs="Montserrat"/>
          <w:color w:val="00646A"/>
          <w:sz w:val="64"/>
          <w:szCs w:val="64"/>
        </w:rPr>
      </w:pPr>
    </w:p>
    <w:p w14:paraId="531E0D3C" w14:textId="77777777" w:rsidR="00331991" w:rsidRDefault="00331991">
      <w:pPr>
        <w:spacing w:before="120" w:after="120" w:line="336" w:lineRule="auto"/>
        <w:rPr>
          <w:rFonts w:ascii="Montserrat" w:eastAsia="Montserrat" w:hAnsi="Montserrat" w:cs="Montserrat"/>
          <w:color w:val="00646A"/>
          <w:sz w:val="64"/>
          <w:szCs w:val="64"/>
        </w:rPr>
        <w:sectPr w:rsidR="00331991" w:rsidSect="001506A1">
          <w:pgSz w:w="11910" w:h="16845"/>
          <w:pgMar w:top="1440" w:right="1440" w:bottom="1440" w:left="1440" w:header="720" w:footer="720" w:gutter="0"/>
          <w:cols w:space="720"/>
        </w:sectPr>
      </w:pPr>
    </w:p>
    <w:p w14:paraId="030F6106" w14:textId="5AE05A3D" w:rsidR="00461F5C" w:rsidRPr="00331991" w:rsidRDefault="00331991">
      <w:pPr>
        <w:spacing w:before="120" w:after="120" w:line="336" w:lineRule="auto"/>
        <w:rPr>
          <w:rFonts w:ascii="Bodoni 72 Book" w:hAnsi="Bodoni 72 Book"/>
          <w:color w:val="0E361A"/>
        </w:rPr>
      </w:pPr>
      <w:r w:rsidRPr="00331991">
        <w:rPr>
          <w:rFonts w:ascii="Bodoni 72 Book" w:eastAsia="Montserrat" w:hAnsi="Bodoni 72 Book" w:cs="Montserrat"/>
          <w:color w:val="0E361A"/>
          <w:sz w:val="64"/>
          <w:szCs w:val="64"/>
        </w:rPr>
        <w:lastRenderedPageBreak/>
        <w:t>Screening Questionnaire</w:t>
      </w:r>
    </w:p>
    <w:p w14:paraId="0009C247" w14:textId="77777777" w:rsidR="00461F5C" w:rsidRDefault="00461F5C">
      <w:pPr>
        <w:pBdr>
          <w:bottom w:val="single" w:sz="6" w:space="0" w:color="076C72"/>
        </w:pBdr>
        <w:spacing w:before="120" w:after="120" w:line="0" w:lineRule="auto"/>
      </w:pPr>
    </w:p>
    <w:tbl>
      <w:tblPr>
        <w:tblStyle w:val="TableGrid"/>
        <w:tblW w:w="14312" w:type="dxa"/>
        <w:tblBorders>
          <w:top w:val="single" w:sz="6" w:space="0" w:color="0E361A"/>
          <w:left w:val="single" w:sz="6" w:space="0" w:color="0E361A"/>
          <w:bottom w:val="single" w:sz="6" w:space="0" w:color="0E361A"/>
          <w:right w:val="single" w:sz="6" w:space="0" w:color="0E361A"/>
          <w:insideH w:val="single" w:sz="6" w:space="0" w:color="0E361A"/>
          <w:insideV w:val="single" w:sz="6" w:space="0" w:color="0E361A"/>
        </w:tblBorders>
        <w:tblLook w:val="04A0" w:firstRow="1" w:lastRow="0" w:firstColumn="1" w:lastColumn="0" w:noHBand="0" w:noVBand="1"/>
      </w:tblPr>
      <w:tblGrid>
        <w:gridCol w:w="4248"/>
        <w:gridCol w:w="2126"/>
        <w:gridCol w:w="4360"/>
        <w:gridCol w:w="3578"/>
      </w:tblGrid>
      <w:tr w:rsidR="00331991" w:rsidRPr="00331991" w14:paraId="1808F08B" w14:textId="77777777" w:rsidTr="005169E7">
        <w:tc>
          <w:tcPr>
            <w:tcW w:w="14312" w:type="dxa"/>
            <w:gridSpan w:val="4"/>
            <w:shd w:val="clear" w:color="auto" w:fill="0E361A"/>
            <w:vAlign w:val="center"/>
          </w:tcPr>
          <w:p w14:paraId="35644E63" w14:textId="610C9884" w:rsidR="00331991" w:rsidRPr="005169E7" w:rsidRDefault="00331991" w:rsidP="005169E7">
            <w:pPr>
              <w:rPr>
                <w:rFonts w:ascii="Avenir Next Ultra Light" w:hAnsi="Avenir Next Ultra Light" w:cs="Calibri"/>
                <w:b/>
                <w:bCs/>
                <w:color w:val="FFFFFF" w:themeColor="background1"/>
              </w:rPr>
            </w:pPr>
            <w:r w:rsidRPr="005169E7">
              <w:rPr>
                <w:rFonts w:ascii="Avenir Next Ultra Light" w:hAnsi="Avenir Next Ultra Light" w:cs="Calibri"/>
                <w:b/>
                <w:bCs/>
                <w:color w:val="FFFFFF" w:themeColor="background1"/>
              </w:rPr>
              <w:t>The Safeguard Information System (SIS)*</w:t>
            </w:r>
          </w:p>
          <w:p w14:paraId="641FEB21" w14:textId="64C45212" w:rsidR="00331991" w:rsidRPr="005169E7" w:rsidRDefault="005169E7" w:rsidP="005169E7">
            <w:pPr>
              <w:rPr>
                <w:rFonts w:ascii="Avenir Next" w:hAnsi="Avenir Next"/>
                <w:color w:val="FFFFFF" w:themeColor="background1"/>
                <w:sz w:val="20"/>
                <w:szCs w:val="20"/>
              </w:rPr>
            </w:pPr>
            <w:r w:rsidRPr="005169E7">
              <w:rPr>
                <w:rFonts w:ascii="Avenir Next" w:hAnsi="Avenir Next"/>
                <w:color w:val="FFFFFF" w:themeColor="background1"/>
                <w:sz w:val="20"/>
                <w:szCs w:val="20"/>
              </w:rPr>
              <w:t>*</w:t>
            </w:r>
            <w:r w:rsidR="00331991" w:rsidRPr="005169E7">
              <w:rPr>
                <w:rFonts w:ascii="Avenir Next" w:hAnsi="Avenir Next"/>
                <w:i/>
                <w:iCs/>
                <w:color w:val="FFFFFF" w:themeColor="background1"/>
                <w:sz w:val="20"/>
                <w:szCs w:val="20"/>
              </w:rPr>
              <w:t>Equivalent systems for sub-national jurisdictions, which are required to have a sub-national ‘reporting system’ in place that allows them to report to both national government and to domestic stakeholders on how the UNFCCC safeguards are being addressed and respected at sub-national level.</w:t>
            </w:r>
            <w:r w:rsidR="00331991" w:rsidRPr="005169E7">
              <w:rPr>
                <w:rFonts w:ascii="Avenir Next" w:hAnsi="Avenir Next"/>
                <w:color w:val="FFFFFF" w:themeColor="background1"/>
                <w:sz w:val="20"/>
                <w:szCs w:val="20"/>
              </w:rPr>
              <w:t xml:space="preserve"> </w:t>
            </w:r>
          </w:p>
          <w:p w14:paraId="378C2F8C" w14:textId="77777777" w:rsidR="00331991" w:rsidRPr="00331991" w:rsidRDefault="00331991" w:rsidP="005169E7">
            <w:pPr>
              <w:rPr>
                <w:rFonts w:ascii="Avenir Next" w:hAnsi="Avenir Next"/>
                <w:sz w:val="20"/>
                <w:szCs w:val="20"/>
              </w:rPr>
            </w:pPr>
          </w:p>
        </w:tc>
      </w:tr>
      <w:tr w:rsidR="005169E7" w:rsidRPr="00331991" w14:paraId="0082AAF5" w14:textId="77777777" w:rsidTr="005169E7">
        <w:tc>
          <w:tcPr>
            <w:tcW w:w="4248" w:type="dxa"/>
            <w:shd w:val="clear" w:color="auto" w:fill="68807A"/>
            <w:vAlign w:val="center"/>
          </w:tcPr>
          <w:p w14:paraId="2A00C071" w14:textId="77777777" w:rsidR="00331991" w:rsidRPr="005169E7" w:rsidRDefault="00331991" w:rsidP="005169E7">
            <w:pPr>
              <w:jc w:val="center"/>
              <w:rPr>
                <w:rFonts w:ascii="Bodoni 72 Book" w:hAnsi="Bodoni 72 Book"/>
                <w:b/>
                <w:bCs/>
                <w:sz w:val="22"/>
                <w:szCs w:val="22"/>
              </w:rPr>
            </w:pPr>
            <w:r w:rsidRPr="005169E7">
              <w:rPr>
                <w:rFonts w:ascii="Bodoni 72 Book" w:hAnsi="Bodoni 72 Book"/>
                <w:b/>
                <w:bCs/>
                <w:sz w:val="22"/>
                <w:szCs w:val="22"/>
              </w:rPr>
              <w:t>Criteria</w:t>
            </w:r>
          </w:p>
        </w:tc>
        <w:tc>
          <w:tcPr>
            <w:tcW w:w="2126" w:type="dxa"/>
            <w:shd w:val="clear" w:color="auto" w:fill="68807A"/>
            <w:vAlign w:val="center"/>
          </w:tcPr>
          <w:p w14:paraId="79E36E83" w14:textId="77777777" w:rsidR="00331991" w:rsidRPr="005169E7" w:rsidRDefault="00331991" w:rsidP="005169E7">
            <w:pPr>
              <w:jc w:val="center"/>
              <w:rPr>
                <w:rFonts w:ascii="Bodoni 72 Book" w:hAnsi="Bodoni 72 Book"/>
                <w:b/>
                <w:bCs/>
                <w:sz w:val="22"/>
                <w:szCs w:val="22"/>
              </w:rPr>
            </w:pPr>
            <w:r w:rsidRPr="005169E7">
              <w:rPr>
                <w:rFonts w:ascii="Bodoni 72 Book" w:hAnsi="Bodoni 72 Book"/>
                <w:b/>
                <w:bCs/>
                <w:sz w:val="22"/>
                <w:szCs w:val="22"/>
              </w:rPr>
              <w:t>Scoring</w:t>
            </w:r>
          </w:p>
          <w:p w14:paraId="25139206" w14:textId="77777777" w:rsidR="00331991" w:rsidRPr="005169E7" w:rsidRDefault="00331991" w:rsidP="005169E7">
            <w:pPr>
              <w:jc w:val="center"/>
              <w:rPr>
                <w:rFonts w:ascii="Bodoni 72 Book" w:hAnsi="Bodoni 72 Book"/>
                <w:b/>
                <w:bCs/>
                <w:sz w:val="22"/>
                <w:szCs w:val="22"/>
              </w:rPr>
            </w:pPr>
            <w:r w:rsidRPr="005169E7">
              <w:rPr>
                <w:rFonts w:ascii="Bodoni 72 Book" w:hAnsi="Bodoni 72 Book"/>
                <w:b/>
                <w:bCs/>
                <w:sz w:val="22"/>
                <w:szCs w:val="22"/>
              </w:rPr>
              <w:t>(Yes/No/Partially)</w:t>
            </w:r>
          </w:p>
        </w:tc>
        <w:tc>
          <w:tcPr>
            <w:tcW w:w="4360" w:type="dxa"/>
            <w:shd w:val="clear" w:color="auto" w:fill="68807A"/>
            <w:vAlign w:val="center"/>
          </w:tcPr>
          <w:p w14:paraId="7AD5C25F" w14:textId="77777777" w:rsidR="00331991" w:rsidRPr="005169E7" w:rsidRDefault="00331991" w:rsidP="005169E7">
            <w:pPr>
              <w:jc w:val="center"/>
              <w:rPr>
                <w:rFonts w:ascii="Bodoni 72 Book" w:hAnsi="Bodoni 72 Book"/>
                <w:b/>
                <w:bCs/>
                <w:sz w:val="22"/>
                <w:szCs w:val="22"/>
              </w:rPr>
            </w:pPr>
            <w:r w:rsidRPr="005169E7">
              <w:rPr>
                <w:rFonts w:ascii="Bodoni 72 Book" w:hAnsi="Bodoni 72 Book"/>
                <w:b/>
                <w:bCs/>
                <w:sz w:val="22"/>
                <w:szCs w:val="22"/>
              </w:rPr>
              <w:t>Comments</w:t>
            </w:r>
          </w:p>
        </w:tc>
        <w:tc>
          <w:tcPr>
            <w:tcW w:w="3578" w:type="dxa"/>
            <w:shd w:val="clear" w:color="auto" w:fill="68807A"/>
            <w:vAlign w:val="center"/>
          </w:tcPr>
          <w:p w14:paraId="758EC0AD" w14:textId="77777777" w:rsidR="00331991" w:rsidRPr="005169E7" w:rsidRDefault="00331991" w:rsidP="005169E7">
            <w:pPr>
              <w:jc w:val="center"/>
              <w:rPr>
                <w:rFonts w:ascii="Bodoni 72 Book" w:hAnsi="Bodoni 72 Book"/>
                <w:b/>
                <w:bCs/>
                <w:sz w:val="22"/>
                <w:szCs w:val="22"/>
              </w:rPr>
            </w:pPr>
            <w:r w:rsidRPr="005169E7">
              <w:rPr>
                <w:rFonts w:ascii="Bodoni 72 Book" w:hAnsi="Bodoni 72 Book"/>
                <w:b/>
                <w:bCs/>
                <w:sz w:val="22"/>
                <w:szCs w:val="22"/>
              </w:rPr>
              <w:t>Means of verification</w:t>
            </w:r>
          </w:p>
        </w:tc>
      </w:tr>
      <w:tr w:rsidR="00331991" w:rsidRPr="00331991" w14:paraId="35564428" w14:textId="77777777" w:rsidTr="005169E7">
        <w:tc>
          <w:tcPr>
            <w:tcW w:w="4248" w:type="dxa"/>
          </w:tcPr>
          <w:p w14:paraId="2FE52118" w14:textId="660D41C2"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 xml:space="preserve">Does the SIS (or </w:t>
            </w:r>
            <w:r w:rsidR="00635BAF" w:rsidRPr="00331991">
              <w:rPr>
                <w:rFonts w:ascii="Avenir Next" w:hAnsi="Avenir Next"/>
                <w:sz w:val="20"/>
                <w:szCs w:val="20"/>
              </w:rPr>
              <w:t>equivalent) have</w:t>
            </w:r>
            <w:r w:rsidRPr="00331991">
              <w:rPr>
                <w:rFonts w:ascii="Avenir Next" w:hAnsi="Avenir Next"/>
                <w:sz w:val="20"/>
                <w:szCs w:val="20"/>
              </w:rPr>
              <w:t xml:space="preserve"> an institutional arrangement</w:t>
            </w:r>
            <w:r w:rsidRPr="00331991">
              <w:rPr>
                <w:rStyle w:val="FootnoteReference"/>
                <w:rFonts w:ascii="Avenir Next" w:hAnsi="Avenir Next"/>
                <w:sz w:val="20"/>
                <w:szCs w:val="20"/>
              </w:rPr>
              <w:footnoteReference w:id="1"/>
            </w:r>
            <w:r w:rsidRPr="00331991">
              <w:rPr>
                <w:rFonts w:ascii="Avenir Next" w:hAnsi="Avenir Next"/>
                <w:sz w:val="20"/>
                <w:szCs w:val="20"/>
              </w:rPr>
              <w:t xml:space="preserve"> in place for providing information on how the seven UNFCCC REDD+ safeguards are being addressed and respected? </w:t>
            </w:r>
          </w:p>
          <w:p w14:paraId="04335005" w14:textId="77777777" w:rsidR="00331991" w:rsidRPr="00331991" w:rsidRDefault="00331991" w:rsidP="00CE0AF6">
            <w:pPr>
              <w:rPr>
                <w:rFonts w:ascii="Avenir Next" w:hAnsi="Avenir Next"/>
                <w:sz w:val="20"/>
                <w:szCs w:val="20"/>
              </w:rPr>
            </w:pPr>
          </w:p>
        </w:tc>
        <w:tc>
          <w:tcPr>
            <w:tcW w:w="2126" w:type="dxa"/>
          </w:tcPr>
          <w:p w14:paraId="3F917492" w14:textId="77777777" w:rsidR="00331991" w:rsidRPr="00331991" w:rsidRDefault="00331991" w:rsidP="00CE0AF6">
            <w:pPr>
              <w:rPr>
                <w:rFonts w:ascii="Avenir Next" w:hAnsi="Avenir Next"/>
                <w:sz w:val="20"/>
                <w:szCs w:val="20"/>
              </w:rPr>
            </w:pPr>
          </w:p>
        </w:tc>
        <w:tc>
          <w:tcPr>
            <w:tcW w:w="4360" w:type="dxa"/>
          </w:tcPr>
          <w:p w14:paraId="4A31CF55" w14:textId="77777777" w:rsidR="00331991" w:rsidRPr="00331991" w:rsidRDefault="00331991" w:rsidP="00CE0AF6">
            <w:pPr>
              <w:rPr>
                <w:rFonts w:ascii="Avenir Next" w:hAnsi="Avenir Next"/>
                <w:sz w:val="20"/>
                <w:szCs w:val="20"/>
              </w:rPr>
            </w:pPr>
          </w:p>
        </w:tc>
        <w:tc>
          <w:tcPr>
            <w:tcW w:w="3578" w:type="dxa"/>
          </w:tcPr>
          <w:p w14:paraId="73EBBA48" w14:textId="77777777" w:rsidR="00331991" w:rsidRPr="00331991" w:rsidRDefault="00331991" w:rsidP="00CE0AF6">
            <w:pPr>
              <w:rPr>
                <w:rFonts w:ascii="Avenir Next" w:hAnsi="Avenir Next"/>
                <w:sz w:val="20"/>
                <w:szCs w:val="20"/>
              </w:rPr>
            </w:pPr>
          </w:p>
        </w:tc>
      </w:tr>
      <w:tr w:rsidR="00331991" w:rsidRPr="00331991" w14:paraId="0CEA5B58" w14:textId="77777777" w:rsidTr="005169E7">
        <w:tc>
          <w:tcPr>
            <w:tcW w:w="4248" w:type="dxa"/>
          </w:tcPr>
          <w:p w14:paraId="498190DE"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Does the SIS (or equivalent) have a web-based platform (website/webpage) to share/disseminate information that is accessible?</w:t>
            </w:r>
          </w:p>
          <w:p w14:paraId="0A9F626D" w14:textId="77777777" w:rsidR="00331991" w:rsidRPr="00331991" w:rsidRDefault="00331991" w:rsidP="00CE0AF6">
            <w:pPr>
              <w:pStyle w:val="ListParagraph"/>
              <w:rPr>
                <w:rFonts w:ascii="Avenir Next" w:hAnsi="Avenir Next"/>
                <w:sz w:val="20"/>
                <w:szCs w:val="20"/>
              </w:rPr>
            </w:pPr>
          </w:p>
        </w:tc>
        <w:tc>
          <w:tcPr>
            <w:tcW w:w="2126" w:type="dxa"/>
          </w:tcPr>
          <w:p w14:paraId="1F8FB7E8" w14:textId="77777777" w:rsidR="00331991" w:rsidRPr="00331991" w:rsidRDefault="00331991" w:rsidP="00CE0AF6">
            <w:pPr>
              <w:rPr>
                <w:rFonts w:ascii="Avenir Next" w:hAnsi="Avenir Next"/>
                <w:sz w:val="20"/>
                <w:szCs w:val="20"/>
              </w:rPr>
            </w:pPr>
          </w:p>
        </w:tc>
        <w:tc>
          <w:tcPr>
            <w:tcW w:w="4360" w:type="dxa"/>
          </w:tcPr>
          <w:p w14:paraId="678EFD9F" w14:textId="77777777" w:rsidR="00331991" w:rsidRPr="00331991" w:rsidRDefault="00331991" w:rsidP="00CE0AF6">
            <w:pPr>
              <w:rPr>
                <w:rFonts w:ascii="Avenir Next" w:hAnsi="Avenir Next"/>
                <w:sz w:val="20"/>
                <w:szCs w:val="20"/>
              </w:rPr>
            </w:pPr>
          </w:p>
        </w:tc>
        <w:tc>
          <w:tcPr>
            <w:tcW w:w="3578" w:type="dxa"/>
          </w:tcPr>
          <w:p w14:paraId="73A49B65" w14:textId="77777777" w:rsidR="00331991" w:rsidRPr="00331991" w:rsidRDefault="00331991" w:rsidP="00CE0AF6">
            <w:pPr>
              <w:rPr>
                <w:rFonts w:ascii="Avenir Next" w:hAnsi="Avenir Next"/>
                <w:sz w:val="20"/>
                <w:szCs w:val="20"/>
              </w:rPr>
            </w:pPr>
          </w:p>
        </w:tc>
      </w:tr>
      <w:tr w:rsidR="00331991" w:rsidRPr="00331991" w14:paraId="5BD5491E" w14:textId="77777777" w:rsidTr="005169E7">
        <w:tc>
          <w:tcPr>
            <w:tcW w:w="4248" w:type="dxa"/>
          </w:tcPr>
          <w:p w14:paraId="15BEF6CB"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Does the SIS (or equivalent) have indicators to be able to report on how the seven UNFCCC REDD+ safeguards are being addressed and respected?</w:t>
            </w:r>
          </w:p>
          <w:p w14:paraId="5A0E8995" w14:textId="77777777" w:rsidR="00331991" w:rsidRPr="00331991" w:rsidRDefault="00331991" w:rsidP="00CE0AF6">
            <w:pPr>
              <w:pStyle w:val="ListParagraph"/>
              <w:rPr>
                <w:rFonts w:ascii="Avenir Next" w:hAnsi="Avenir Next"/>
                <w:sz w:val="20"/>
                <w:szCs w:val="20"/>
              </w:rPr>
            </w:pPr>
          </w:p>
        </w:tc>
        <w:tc>
          <w:tcPr>
            <w:tcW w:w="2126" w:type="dxa"/>
          </w:tcPr>
          <w:p w14:paraId="7AC11009" w14:textId="77777777" w:rsidR="00331991" w:rsidRPr="00331991" w:rsidRDefault="00331991" w:rsidP="00CE0AF6">
            <w:pPr>
              <w:rPr>
                <w:rFonts w:ascii="Avenir Next" w:hAnsi="Avenir Next"/>
                <w:sz w:val="20"/>
                <w:szCs w:val="20"/>
              </w:rPr>
            </w:pPr>
          </w:p>
        </w:tc>
        <w:tc>
          <w:tcPr>
            <w:tcW w:w="4360" w:type="dxa"/>
          </w:tcPr>
          <w:p w14:paraId="5B913396" w14:textId="77777777" w:rsidR="00331991" w:rsidRPr="00331991" w:rsidRDefault="00331991" w:rsidP="00CE0AF6">
            <w:pPr>
              <w:rPr>
                <w:rFonts w:ascii="Avenir Next" w:hAnsi="Avenir Next"/>
                <w:sz w:val="20"/>
                <w:szCs w:val="20"/>
              </w:rPr>
            </w:pPr>
          </w:p>
        </w:tc>
        <w:tc>
          <w:tcPr>
            <w:tcW w:w="3578" w:type="dxa"/>
          </w:tcPr>
          <w:p w14:paraId="6C74E72B" w14:textId="77777777" w:rsidR="00331991" w:rsidRPr="00331991" w:rsidRDefault="00331991" w:rsidP="00CE0AF6">
            <w:pPr>
              <w:rPr>
                <w:rFonts w:ascii="Avenir Next" w:hAnsi="Avenir Next"/>
                <w:sz w:val="20"/>
                <w:szCs w:val="20"/>
              </w:rPr>
            </w:pPr>
          </w:p>
        </w:tc>
      </w:tr>
      <w:tr w:rsidR="00331991" w:rsidRPr="00331991" w14:paraId="517E20CF" w14:textId="77777777" w:rsidTr="005169E7">
        <w:tc>
          <w:tcPr>
            <w:tcW w:w="4248" w:type="dxa"/>
          </w:tcPr>
          <w:p w14:paraId="2062DE57" w14:textId="4EF13546"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lastRenderedPageBreak/>
              <w:t xml:space="preserve">Does the SIS (or </w:t>
            </w:r>
            <w:r w:rsidR="001C439B" w:rsidRPr="00331991">
              <w:rPr>
                <w:rFonts w:ascii="Avenir Next" w:hAnsi="Avenir Next"/>
                <w:sz w:val="20"/>
                <w:szCs w:val="20"/>
              </w:rPr>
              <w:t>equivalent) have</w:t>
            </w:r>
            <w:r w:rsidRPr="00331991">
              <w:rPr>
                <w:rFonts w:ascii="Avenir Next" w:hAnsi="Avenir Next"/>
                <w:sz w:val="20"/>
                <w:szCs w:val="20"/>
              </w:rPr>
              <w:t xml:space="preserve"> a design document/framework, which sets out the key design elements [i.e. functions and institutional arrangements of the SIS]?</w:t>
            </w:r>
          </w:p>
          <w:p w14:paraId="0BF86C4D" w14:textId="77777777" w:rsidR="00331991" w:rsidRPr="00331991" w:rsidRDefault="00331991" w:rsidP="00CE0AF6">
            <w:pPr>
              <w:pStyle w:val="ListParagraph"/>
              <w:rPr>
                <w:rFonts w:ascii="Avenir Next" w:hAnsi="Avenir Next"/>
                <w:sz w:val="20"/>
                <w:szCs w:val="20"/>
              </w:rPr>
            </w:pPr>
          </w:p>
          <w:p w14:paraId="545F7E65" w14:textId="77777777" w:rsidR="00331991" w:rsidRPr="00331991" w:rsidRDefault="00331991" w:rsidP="00CE0AF6">
            <w:pPr>
              <w:pStyle w:val="ListParagraph"/>
              <w:rPr>
                <w:rFonts w:ascii="Avenir Next" w:hAnsi="Avenir Next"/>
                <w:sz w:val="20"/>
                <w:szCs w:val="20"/>
              </w:rPr>
            </w:pPr>
          </w:p>
        </w:tc>
        <w:tc>
          <w:tcPr>
            <w:tcW w:w="2126" w:type="dxa"/>
          </w:tcPr>
          <w:p w14:paraId="6E80B9E9" w14:textId="77777777" w:rsidR="00331991" w:rsidRPr="00331991" w:rsidRDefault="00331991" w:rsidP="00CE0AF6">
            <w:pPr>
              <w:rPr>
                <w:rFonts w:ascii="Avenir Next" w:hAnsi="Avenir Next"/>
                <w:sz w:val="20"/>
                <w:szCs w:val="20"/>
              </w:rPr>
            </w:pPr>
          </w:p>
        </w:tc>
        <w:tc>
          <w:tcPr>
            <w:tcW w:w="4360" w:type="dxa"/>
          </w:tcPr>
          <w:p w14:paraId="5B691BF3" w14:textId="77777777" w:rsidR="00331991" w:rsidRPr="00331991" w:rsidRDefault="00331991" w:rsidP="00CE0AF6">
            <w:pPr>
              <w:rPr>
                <w:rFonts w:ascii="Avenir Next" w:hAnsi="Avenir Next"/>
                <w:sz w:val="20"/>
                <w:szCs w:val="20"/>
              </w:rPr>
            </w:pPr>
          </w:p>
        </w:tc>
        <w:tc>
          <w:tcPr>
            <w:tcW w:w="3578" w:type="dxa"/>
          </w:tcPr>
          <w:p w14:paraId="6A62204D" w14:textId="77777777" w:rsidR="00331991" w:rsidRPr="00331991" w:rsidRDefault="00331991" w:rsidP="00CE0AF6">
            <w:pPr>
              <w:rPr>
                <w:rFonts w:ascii="Avenir Next" w:hAnsi="Avenir Next"/>
                <w:sz w:val="20"/>
                <w:szCs w:val="20"/>
              </w:rPr>
            </w:pPr>
          </w:p>
        </w:tc>
      </w:tr>
      <w:tr w:rsidR="00331991" w:rsidRPr="00331991" w14:paraId="416B0D22" w14:textId="77777777" w:rsidTr="005169E7">
        <w:trPr>
          <w:trHeight w:val="503"/>
        </w:trPr>
        <w:tc>
          <w:tcPr>
            <w:tcW w:w="14312" w:type="dxa"/>
            <w:gridSpan w:val="4"/>
            <w:shd w:val="clear" w:color="auto" w:fill="0E361A"/>
            <w:vAlign w:val="center"/>
          </w:tcPr>
          <w:p w14:paraId="77382EDF" w14:textId="13F00AF1" w:rsidR="00331991" w:rsidRPr="005169E7" w:rsidRDefault="00331991" w:rsidP="005169E7">
            <w:pPr>
              <w:rPr>
                <w:rFonts w:ascii="Avenir Next Ultra Light" w:hAnsi="Avenir Next Ultra Light"/>
                <w:b/>
                <w:bCs/>
              </w:rPr>
            </w:pPr>
            <w:r w:rsidRPr="005169E7">
              <w:rPr>
                <w:rFonts w:ascii="Avenir Next Ultra Light" w:hAnsi="Avenir Next Ultra Light"/>
                <w:b/>
                <w:bCs/>
              </w:rPr>
              <w:t>The J-REDD+ Program’s governance arrangements that guarantee the application of the UNFCCC REDD+ safeguards</w:t>
            </w:r>
          </w:p>
        </w:tc>
      </w:tr>
      <w:tr w:rsidR="00331991" w:rsidRPr="00331991" w14:paraId="1E861022" w14:textId="77777777" w:rsidTr="005169E7">
        <w:tc>
          <w:tcPr>
            <w:tcW w:w="4248" w:type="dxa"/>
            <w:shd w:val="clear" w:color="auto" w:fill="68807A"/>
            <w:vAlign w:val="center"/>
          </w:tcPr>
          <w:p w14:paraId="42E3AF63"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Criteria</w:t>
            </w:r>
          </w:p>
        </w:tc>
        <w:tc>
          <w:tcPr>
            <w:tcW w:w="2126" w:type="dxa"/>
            <w:shd w:val="clear" w:color="auto" w:fill="68807A"/>
            <w:vAlign w:val="center"/>
          </w:tcPr>
          <w:p w14:paraId="33CC413B"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Scoring</w:t>
            </w:r>
          </w:p>
          <w:p w14:paraId="3DEF4D39"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(Yes/No/Partially)</w:t>
            </w:r>
          </w:p>
        </w:tc>
        <w:tc>
          <w:tcPr>
            <w:tcW w:w="4360" w:type="dxa"/>
            <w:shd w:val="clear" w:color="auto" w:fill="68807A"/>
            <w:vAlign w:val="center"/>
          </w:tcPr>
          <w:p w14:paraId="207266EA"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Comments</w:t>
            </w:r>
          </w:p>
        </w:tc>
        <w:tc>
          <w:tcPr>
            <w:tcW w:w="3578" w:type="dxa"/>
            <w:shd w:val="clear" w:color="auto" w:fill="68807A"/>
            <w:vAlign w:val="center"/>
          </w:tcPr>
          <w:p w14:paraId="5FE2E55D"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Means of verification</w:t>
            </w:r>
          </w:p>
        </w:tc>
      </w:tr>
      <w:tr w:rsidR="00331991" w:rsidRPr="00331991" w14:paraId="22345818" w14:textId="77777777" w:rsidTr="005169E7">
        <w:tc>
          <w:tcPr>
            <w:tcW w:w="4248" w:type="dxa"/>
          </w:tcPr>
          <w:p w14:paraId="182598AF"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Has the J-REDD+ program adopted a description/interpretation/clarification of the UNFCCC REDD+ safeguards?</w:t>
            </w:r>
            <w:r w:rsidRPr="00331991">
              <w:rPr>
                <w:rStyle w:val="FootnoteReference"/>
                <w:rFonts w:ascii="Avenir Next" w:hAnsi="Avenir Next"/>
                <w:sz w:val="20"/>
                <w:szCs w:val="20"/>
              </w:rPr>
              <w:footnoteReference w:id="2"/>
            </w:r>
            <w:r w:rsidRPr="00331991">
              <w:rPr>
                <w:rFonts w:ascii="Avenir Next" w:hAnsi="Avenir Next"/>
                <w:sz w:val="20"/>
                <w:szCs w:val="20"/>
              </w:rPr>
              <w:t xml:space="preserve"> </w:t>
            </w:r>
          </w:p>
          <w:p w14:paraId="755F2B1E" w14:textId="77777777" w:rsidR="00331991" w:rsidRPr="00331991" w:rsidRDefault="00331991" w:rsidP="00CE0AF6">
            <w:pPr>
              <w:rPr>
                <w:rFonts w:ascii="Avenir Next" w:hAnsi="Avenir Next"/>
                <w:sz w:val="20"/>
                <w:szCs w:val="20"/>
              </w:rPr>
            </w:pPr>
          </w:p>
        </w:tc>
        <w:tc>
          <w:tcPr>
            <w:tcW w:w="2126" w:type="dxa"/>
          </w:tcPr>
          <w:p w14:paraId="5F060AEB" w14:textId="77777777" w:rsidR="00331991" w:rsidRPr="00331991" w:rsidRDefault="00331991" w:rsidP="00CE0AF6">
            <w:pPr>
              <w:rPr>
                <w:rFonts w:ascii="Avenir Next" w:hAnsi="Avenir Next"/>
                <w:sz w:val="20"/>
                <w:szCs w:val="20"/>
              </w:rPr>
            </w:pPr>
          </w:p>
        </w:tc>
        <w:tc>
          <w:tcPr>
            <w:tcW w:w="4360" w:type="dxa"/>
          </w:tcPr>
          <w:p w14:paraId="05DDBE4E" w14:textId="77777777" w:rsidR="00331991" w:rsidRPr="00331991" w:rsidRDefault="00331991" w:rsidP="00CE0AF6">
            <w:pPr>
              <w:rPr>
                <w:rFonts w:ascii="Avenir Next" w:hAnsi="Avenir Next"/>
                <w:sz w:val="20"/>
                <w:szCs w:val="20"/>
              </w:rPr>
            </w:pPr>
          </w:p>
        </w:tc>
        <w:tc>
          <w:tcPr>
            <w:tcW w:w="3578" w:type="dxa"/>
          </w:tcPr>
          <w:p w14:paraId="26DA5D27" w14:textId="77777777" w:rsidR="00331991" w:rsidRPr="00331991" w:rsidRDefault="00331991" w:rsidP="00CE0AF6">
            <w:pPr>
              <w:rPr>
                <w:rFonts w:ascii="Avenir Next" w:hAnsi="Avenir Next"/>
                <w:sz w:val="20"/>
                <w:szCs w:val="20"/>
              </w:rPr>
            </w:pPr>
          </w:p>
        </w:tc>
      </w:tr>
      <w:tr w:rsidR="00331991" w:rsidRPr="00331991" w14:paraId="1B2BC356" w14:textId="77777777" w:rsidTr="005169E7">
        <w:tc>
          <w:tcPr>
            <w:tcW w:w="4248" w:type="dxa"/>
          </w:tcPr>
          <w:p w14:paraId="4D2449AA"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Does the J-REDD+ program articulate ‘how’ the UNFCCC REDD+ safeguards are to be applied in the context of the implementation of the REDD+ activities? [i.e. is there an identification and description of relevant legislation, policies, procedures, plans, etc.]</w:t>
            </w:r>
            <w:r w:rsidRPr="00331991">
              <w:rPr>
                <w:rStyle w:val="FootnoteReference"/>
                <w:rFonts w:ascii="Avenir Next" w:hAnsi="Avenir Next"/>
                <w:sz w:val="20"/>
                <w:szCs w:val="20"/>
              </w:rPr>
              <w:footnoteReference w:id="3"/>
            </w:r>
          </w:p>
          <w:p w14:paraId="042ADA66" w14:textId="77777777" w:rsidR="00331991" w:rsidRPr="00331991" w:rsidRDefault="00331991" w:rsidP="00CE0AF6">
            <w:pPr>
              <w:rPr>
                <w:rFonts w:ascii="Avenir Next" w:hAnsi="Avenir Next"/>
                <w:sz w:val="20"/>
                <w:szCs w:val="20"/>
              </w:rPr>
            </w:pPr>
          </w:p>
        </w:tc>
        <w:tc>
          <w:tcPr>
            <w:tcW w:w="2126" w:type="dxa"/>
          </w:tcPr>
          <w:p w14:paraId="7B093426" w14:textId="77777777" w:rsidR="00331991" w:rsidRPr="00331991" w:rsidRDefault="00331991" w:rsidP="00CE0AF6">
            <w:pPr>
              <w:rPr>
                <w:rFonts w:ascii="Avenir Next" w:hAnsi="Avenir Next"/>
                <w:sz w:val="20"/>
                <w:szCs w:val="20"/>
              </w:rPr>
            </w:pPr>
          </w:p>
        </w:tc>
        <w:tc>
          <w:tcPr>
            <w:tcW w:w="4360" w:type="dxa"/>
          </w:tcPr>
          <w:p w14:paraId="2B227F61" w14:textId="77777777" w:rsidR="00331991" w:rsidRPr="00331991" w:rsidRDefault="00331991" w:rsidP="00CE0AF6">
            <w:pPr>
              <w:rPr>
                <w:rFonts w:ascii="Avenir Next" w:hAnsi="Avenir Next"/>
                <w:sz w:val="20"/>
                <w:szCs w:val="20"/>
              </w:rPr>
            </w:pPr>
          </w:p>
        </w:tc>
        <w:tc>
          <w:tcPr>
            <w:tcW w:w="3578" w:type="dxa"/>
          </w:tcPr>
          <w:p w14:paraId="657D8387" w14:textId="77777777" w:rsidR="00331991" w:rsidRPr="00331991" w:rsidRDefault="00331991" w:rsidP="00CE0AF6">
            <w:pPr>
              <w:rPr>
                <w:rFonts w:ascii="Avenir Next" w:hAnsi="Avenir Next"/>
                <w:sz w:val="20"/>
                <w:szCs w:val="20"/>
              </w:rPr>
            </w:pPr>
          </w:p>
        </w:tc>
      </w:tr>
      <w:tr w:rsidR="00331991" w:rsidRPr="00331991" w14:paraId="2F8761AA" w14:textId="77777777" w:rsidTr="005169E7">
        <w:tc>
          <w:tcPr>
            <w:tcW w:w="4248" w:type="dxa"/>
          </w:tcPr>
          <w:p w14:paraId="78F1864B"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 xml:space="preserve">Does the J-REDD+ program articulate ‘who’ will be responsible for the application of the UNFCCC </w:t>
            </w:r>
            <w:r w:rsidRPr="00331991">
              <w:rPr>
                <w:rFonts w:ascii="Avenir Next" w:hAnsi="Avenir Next"/>
                <w:sz w:val="20"/>
                <w:szCs w:val="20"/>
              </w:rPr>
              <w:lastRenderedPageBreak/>
              <w:t>REDD+ safeguards in the context of the implementation of the REDD+ activities? [i.e. description of the institutions and stakeholders responsible]</w:t>
            </w:r>
          </w:p>
          <w:p w14:paraId="64B9D318" w14:textId="77777777" w:rsidR="00331991" w:rsidRPr="00331991" w:rsidRDefault="00331991" w:rsidP="00CE0AF6">
            <w:pPr>
              <w:pStyle w:val="ListParagraph"/>
              <w:rPr>
                <w:rFonts w:ascii="Avenir Next" w:hAnsi="Avenir Next"/>
                <w:sz w:val="20"/>
                <w:szCs w:val="20"/>
              </w:rPr>
            </w:pPr>
          </w:p>
        </w:tc>
        <w:tc>
          <w:tcPr>
            <w:tcW w:w="2126" w:type="dxa"/>
          </w:tcPr>
          <w:p w14:paraId="47E4367B" w14:textId="77777777" w:rsidR="00331991" w:rsidRPr="00331991" w:rsidRDefault="00331991" w:rsidP="00CE0AF6">
            <w:pPr>
              <w:rPr>
                <w:rFonts w:ascii="Avenir Next" w:hAnsi="Avenir Next"/>
                <w:sz w:val="20"/>
                <w:szCs w:val="20"/>
              </w:rPr>
            </w:pPr>
          </w:p>
        </w:tc>
        <w:tc>
          <w:tcPr>
            <w:tcW w:w="4360" w:type="dxa"/>
          </w:tcPr>
          <w:p w14:paraId="190AE2B4" w14:textId="77777777" w:rsidR="00331991" w:rsidRPr="00331991" w:rsidRDefault="00331991" w:rsidP="00CE0AF6">
            <w:pPr>
              <w:rPr>
                <w:rFonts w:ascii="Avenir Next" w:hAnsi="Avenir Next"/>
                <w:sz w:val="20"/>
                <w:szCs w:val="20"/>
              </w:rPr>
            </w:pPr>
          </w:p>
        </w:tc>
        <w:tc>
          <w:tcPr>
            <w:tcW w:w="3578" w:type="dxa"/>
          </w:tcPr>
          <w:p w14:paraId="51A7DAF2" w14:textId="77777777" w:rsidR="00331991" w:rsidRPr="00331991" w:rsidRDefault="00331991" w:rsidP="00CE0AF6">
            <w:pPr>
              <w:rPr>
                <w:rFonts w:ascii="Avenir Next" w:hAnsi="Avenir Next"/>
                <w:sz w:val="20"/>
                <w:szCs w:val="20"/>
              </w:rPr>
            </w:pPr>
          </w:p>
        </w:tc>
      </w:tr>
      <w:tr w:rsidR="00331991" w:rsidRPr="00331991" w14:paraId="647B0715" w14:textId="77777777" w:rsidTr="005169E7">
        <w:tc>
          <w:tcPr>
            <w:tcW w:w="4248" w:type="dxa"/>
          </w:tcPr>
          <w:p w14:paraId="77BA71E0"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Has the J-REDD+ program undergone a strategic environmental and social assessment (SESA) and adopted specific environmental and social management framework (ESMF) in response?</w:t>
            </w:r>
          </w:p>
          <w:p w14:paraId="46AF8447" w14:textId="77777777" w:rsidR="00331991" w:rsidRPr="00331991" w:rsidRDefault="00331991" w:rsidP="00CE0AF6">
            <w:pPr>
              <w:pStyle w:val="ListParagraph"/>
              <w:rPr>
                <w:rFonts w:ascii="Avenir Next" w:hAnsi="Avenir Next"/>
                <w:sz w:val="20"/>
                <w:szCs w:val="20"/>
              </w:rPr>
            </w:pPr>
          </w:p>
        </w:tc>
        <w:tc>
          <w:tcPr>
            <w:tcW w:w="2126" w:type="dxa"/>
          </w:tcPr>
          <w:p w14:paraId="567272D4" w14:textId="77777777" w:rsidR="00331991" w:rsidRPr="00331991" w:rsidRDefault="00331991" w:rsidP="00CE0AF6">
            <w:pPr>
              <w:rPr>
                <w:rFonts w:ascii="Avenir Next" w:hAnsi="Avenir Next"/>
                <w:sz w:val="20"/>
                <w:szCs w:val="20"/>
              </w:rPr>
            </w:pPr>
          </w:p>
        </w:tc>
        <w:tc>
          <w:tcPr>
            <w:tcW w:w="4360" w:type="dxa"/>
          </w:tcPr>
          <w:p w14:paraId="7FAC2373" w14:textId="77777777" w:rsidR="00331991" w:rsidRPr="00331991" w:rsidRDefault="00331991" w:rsidP="00CE0AF6">
            <w:pPr>
              <w:rPr>
                <w:rFonts w:ascii="Avenir Next" w:hAnsi="Avenir Next"/>
                <w:sz w:val="20"/>
                <w:szCs w:val="20"/>
              </w:rPr>
            </w:pPr>
          </w:p>
        </w:tc>
        <w:tc>
          <w:tcPr>
            <w:tcW w:w="3578" w:type="dxa"/>
          </w:tcPr>
          <w:p w14:paraId="09D8FD53" w14:textId="77777777" w:rsidR="00331991" w:rsidRPr="00331991" w:rsidRDefault="00331991" w:rsidP="00CE0AF6">
            <w:pPr>
              <w:rPr>
                <w:rFonts w:ascii="Avenir Next" w:hAnsi="Avenir Next"/>
                <w:sz w:val="20"/>
                <w:szCs w:val="20"/>
              </w:rPr>
            </w:pPr>
          </w:p>
        </w:tc>
      </w:tr>
      <w:tr w:rsidR="00331991" w:rsidRPr="00331991" w14:paraId="6F1613BD" w14:textId="77777777" w:rsidTr="005169E7">
        <w:trPr>
          <w:trHeight w:val="354"/>
        </w:trPr>
        <w:tc>
          <w:tcPr>
            <w:tcW w:w="14312" w:type="dxa"/>
            <w:gridSpan w:val="4"/>
            <w:shd w:val="clear" w:color="auto" w:fill="0E361A"/>
            <w:vAlign w:val="center"/>
          </w:tcPr>
          <w:p w14:paraId="4388B860" w14:textId="7D20F984" w:rsidR="00331991" w:rsidRPr="005169E7" w:rsidRDefault="00331991" w:rsidP="005169E7">
            <w:pPr>
              <w:rPr>
                <w:rFonts w:ascii="Avenir Next Ultra Light" w:hAnsi="Avenir Next Ultra Light"/>
                <w:b/>
                <w:bCs/>
              </w:rPr>
            </w:pPr>
            <w:r w:rsidRPr="005169E7">
              <w:rPr>
                <w:rFonts w:ascii="Avenir Next Ultra Light" w:hAnsi="Avenir Next Ultra Light"/>
                <w:b/>
                <w:bCs/>
              </w:rPr>
              <w:t>The Revenue Distribution Plan or System</w:t>
            </w:r>
          </w:p>
        </w:tc>
      </w:tr>
      <w:tr w:rsidR="00331991" w:rsidRPr="00331991" w14:paraId="5375D37A" w14:textId="77777777" w:rsidTr="005169E7">
        <w:tc>
          <w:tcPr>
            <w:tcW w:w="4248" w:type="dxa"/>
            <w:shd w:val="clear" w:color="auto" w:fill="68807A"/>
            <w:vAlign w:val="center"/>
          </w:tcPr>
          <w:p w14:paraId="3D0023D6"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Criteria</w:t>
            </w:r>
          </w:p>
        </w:tc>
        <w:tc>
          <w:tcPr>
            <w:tcW w:w="2126" w:type="dxa"/>
            <w:shd w:val="clear" w:color="auto" w:fill="68807A"/>
            <w:vAlign w:val="center"/>
          </w:tcPr>
          <w:p w14:paraId="496B8B0E"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Scoring</w:t>
            </w:r>
          </w:p>
          <w:p w14:paraId="3DC26869"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(Yes/No/Partially)</w:t>
            </w:r>
          </w:p>
        </w:tc>
        <w:tc>
          <w:tcPr>
            <w:tcW w:w="4360" w:type="dxa"/>
            <w:shd w:val="clear" w:color="auto" w:fill="68807A"/>
            <w:vAlign w:val="center"/>
          </w:tcPr>
          <w:p w14:paraId="662C5331"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Comments</w:t>
            </w:r>
          </w:p>
        </w:tc>
        <w:tc>
          <w:tcPr>
            <w:tcW w:w="3578" w:type="dxa"/>
            <w:shd w:val="clear" w:color="auto" w:fill="68807A"/>
            <w:vAlign w:val="center"/>
          </w:tcPr>
          <w:p w14:paraId="4D8070D7"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Means of verification</w:t>
            </w:r>
          </w:p>
        </w:tc>
      </w:tr>
      <w:tr w:rsidR="00331991" w:rsidRPr="00331991" w14:paraId="1B993D06" w14:textId="77777777" w:rsidTr="005169E7">
        <w:tc>
          <w:tcPr>
            <w:tcW w:w="4248" w:type="dxa"/>
          </w:tcPr>
          <w:p w14:paraId="6A3ED452" w14:textId="1DA658BC"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 xml:space="preserve">Does the J-REDD+ program have an incentive or revenue distribution plan/system applicable to </w:t>
            </w:r>
            <w:r w:rsidR="00635BAF" w:rsidRPr="00331991">
              <w:rPr>
                <w:rFonts w:ascii="Avenir Next" w:hAnsi="Avenir Next"/>
                <w:sz w:val="20"/>
                <w:szCs w:val="20"/>
              </w:rPr>
              <w:t>the scope</w:t>
            </w:r>
            <w:r w:rsidRPr="00331991">
              <w:rPr>
                <w:rFonts w:ascii="Avenir Next" w:hAnsi="Avenir Next"/>
                <w:sz w:val="20"/>
                <w:szCs w:val="20"/>
              </w:rPr>
              <w:t xml:space="preserve"> of the J-REDD+ relevant actions?</w:t>
            </w:r>
            <w:r w:rsidRPr="00331991">
              <w:rPr>
                <w:rStyle w:val="FootnoteReference"/>
                <w:rFonts w:ascii="Avenir Next" w:hAnsi="Avenir Next"/>
                <w:sz w:val="20"/>
                <w:szCs w:val="20"/>
              </w:rPr>
              <w:t xml:space="preserve"> </w:t>
            </w:r>
            <w:r w:rsidRPr="00331991">
              <w:rPr>
                <w:rStyle w:val="FootnoteReference"/>
                <w:rFonts w:ascii="Avenir Next" w:hAnsi="Avenir Next"/>
                <w:sz w:val="20"/>
                <w:szCs w:val="20"/>
              </w:rPr>
              <w:footnoteReference w:id="4"/>
            </w:r>
          </w:p>
          <w:p w14:paraId="0764484D" w14:textId="77777777" w:rsidR="00331991" w:rsidRPr="00331991" w:rsidRDefault="00331991" w:rsidP="00CE0AF6">
            <w:pPr>
              <w:pStyle w:val="ListParagraph"/>
              <w:rPr>
                <w:rFonts w:ascii="Avenir Next" w:hAnsi="Avenir Next"/>
                <w:sz w:val="20"/>
                <w:szCs w:val="20"/>
              </w:rPr>
            </w:pPr>
          </w:p>
        </w:tc>
        <w:tc>
          <w:tcPr>
            <w:tcW w:w="2126" w:type="dxa"/>
          </w:tcPr>
          <w:p w14:paraId="2D3664C7" w14:textId="77777777" w:rsidR="00331991" w:rsidRPr="00331991" w:rsidRDefault="00331991" w:rsidP="00CE0AF6">
            <w:pPr>
              <w:rPr>
                <w:rFonts w:ascii="Avenir Next" w:hAnsi="Avenir Next"/>
                <w:sz w:val="20"/>
                <w:szCs w:val="20"/>
              </w:rPr>
            </w:pPr>
          </w:p>
        </w:tc>
        <w:tc>
          <w:tcPr>
            <w:tcW w:w="4360" w:type="dxa"/>
          </w:tcPr>
          <w:p w14:paraId="1AC4DF9E" w14:textId="77777777" w:rsidR="00331991" w:rsidRPr="00331991" w:rsidRDefault="00331991" w:rsidP="00CE0AF6">
            <w:pPr>
              <w:rPr>
                <w:rFonts w:ascii="Avenir Next" w:hAnsi="Avenir Next"/>
                <w:sz w:val="20"/>
                <w:szCs w:val="20"/>
              </w:rPr>
            </w:pPr>
          </w:p>
        </w:tc>
        <w:tc>
          <w:tcPr>
            <w:tcW w:w="3578" w:type="dxa"/>
          </w:tcPr>
          <w:p w14:paraId="0DC36227" w14:textId="77777777" w:rsidR="00331991" w:rsidRPr="00331991" w:rsidRDefault="00331991" w:rsidP="00CE0AF6">
            <w:pPr>
              <w:rPr>
                <w:rFonts w:ascii="Avenir Next" w:hAnsi="Avenir Next"/>
                <w:sz w:val="20"/>
                <w:szCs w:val="20"/>
              </w:rPr>
            </w:pPr>
          </w:p>
        </w:tc>
      </w:tr>
      <w:tr w:rsidR="00331991" w:rsidRPr="00331991" w14:paraId="5860F58C" w14:textId="77777777" w:rsidTr="005169E7">
        <w:tc>
          <w:tcPr>
            <w:tcW w:w="4248" w:type="dxa"/>
          </w:tcPr>
          <w:p w14:paraId="60C6D443" w14:textId="4A43067F"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 xml:space="preserve">Does the J-REDD+ program articulate ‘how’ the incentive or revenue distribution would apply to the J-REDD+ program’s relevant </w:t>
            </w:r>
            <w:r w:rsidR="00635BAF" w:rsidRPr="00331991">
              <w:rPr>
                <w:rFonts w:ascii="Avenir Next" w:hAnsi="Avenir Next"/>
                <w:sz w:val="20"/>
                <w:szCs w:val="20"/>
              </w:rPr>
              <w:t>activities?</w:t>
            </w:r>
            <w:r w:rsidRPr="00331991">
              <w:rPr>
                <w:rFonts w:ascii="Avenir Next" w:hAnsi="Avenir Next"/>
                <w:sz w:val="20"/>
                <w:szCs w:val="20"/>
              </w:rPr>
              <w:t xml:space="preserve"> [i.e. the process for distribution of the benefits - including</w:t>
            </w:r>
            <w:r w:rsidRPr="00331991">
              <w:rPr>
                <w:rFonts w:ascii="Avenir Next" w:hAnsi="Avenir Next"/>
                <w:sz w:val="20"/>
                <w:szCs w:val="20"/>
                <w:lang w:val="en-US"/>
              </w:rPr>
              <w:t xml:space="preserve"> how funds will flow from </w:t>
            </w:r>
            <w:r w:rsidRPr="00331991">
              <w:rPr>
                <w:rFonts w:ascii="Avenir Next" w:hAnsi="Avenir Next"/>
                <w:sz w:val="20"/>
                <w:szCs w:val="20"/>
                <w:lang w:val="en-US"/>
              </w:rPr>
              <w:lastRenderedPageBreak/>
              <w:t>the institution receiving the ERPA Payments to the final Beneficiaries.</w:t>
            </w:r>
            <w:r w:rsidRPr="00331991">
              <w:rPr>
                <w:rFonts w:ascii="Avenir Next" w:hAnsi="Avenir Next"/>
                <w:sz w:val="20"/>
                <w:szCs w:val="20"/>
              </w:rPr>
              <w:t>]</w:t>
            </w:r>
          </w:p>
          <w:p w14:paraId="46C9FA50" w14:textId="77777777" w:rsidR="00331991" w:rsidRPr="00331991" w:rsidRDefault="00331991" w:rsidP="00CE0AF6">
            <w:pPr>
              <w:pStyle w:val="ListParagraph"/>
              <w:rPr>
                <w:rFonts w:ascii="Avenir Next" w:hAnsi="Avenir Next"/>
                <w:sz w:val="20"/>
                <w:szCs w:val="20"/>
              </w:rPr>
            </w:pPr>
          </w:p>
        </w:tc>
        <w:tc>
          <w:tcPr>
            <w:tcW w:w="2126" w:type="dxa"/>
          </w:tcPr>
          <w:p w14:paraId="4D949F16" w14:textId="77777777" w:rsidR="00331991" w:rsidRPr="00331991" w:rsidRDefault="00331991" w:rsidP="00CE0AF6">
            <w:pPr>
              <w:rPr>
                <w:rFonts w:ascii="Avenir Next" w:hAnsi="Avenir Next"/>
                <w:sz w:val="20"/>
                <w:szCs w:val="20"/>
              </w:rPr>
            </w:pPr>
          </w:p>
        </w:tc>
        <w:tc>
          <w:tcPr>
            <w:tcW w:w="4360" w:type="dxa"/>
          </w:tcPr>
          <w:p w14:paraId="59A7E888" w14:textId="77777777" w:rsidR="00331991" w:rsidRPr="00331991" w:rsidRDefault="00331991" w:rsidP="00CE0AF6">
            <w:pPr>
              <w:rPr>
                <w:rFonts w:ascii="Avenir Next" w:hAnsi="Avenir Next"/>
                <w:sz w:val="20"/>
                <w:szCs w:val="20"/>
              </w:rPr>
            </w:pPr>
          </w:p>
        </w:tc>
        <w:tc>
          <w:tcPr>
            <w:tcW w:w="3578" w:type="dxa"/>
          </w:tcPr>
          <w:p w14:paraId="19908592" w14:textId="77777777" w:rsidR="00331991" w:rsidRPr="00331991" w:rsidRDefault="00331991" w:rsidP="00CE0AF6">
            <w:pPr>
              <w:rPr>
                <w:rFonts w:ascii="Avenir Next" w:hAnsi="Avenir Next"/>
                <w:sz w:val="20"/>
                <w:szCs w:val="20"/>
              </w:rPr>
            </w:pPr>
          </w:p>
        </w:tc>
      </w:tr>
      <w:tr w:rsidR="00331991" w:rsidRPr="00331991" w14:paraId="58B15330" w14:textId="77777777" w:rsidTr="005169E7">
        <w:tc>
          <w:tcPr>
            <w:tcW w:w="4248" w:type="dxa"/>
          </w:tcPr>
          <w:p w14:paraId="1AB8EEF4"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Does the J-REDD+ program articulate who will be responsible for the incentive or revenue distribution in the context of the implementation of the relevant REDD+ activities? [i.e. institutions or institutional arrangements in place]</w:t>
            </w:r>
          </w:p>
          <w:p w14:paraId="43B3BA1E" w14:textId="77777777" w:rsidR="00331991" w:rsidRPr="00331991" w:rsidRDefault="00331991" w:rsidP="00CE0AF6">
            <w:pPr>
              <w:pStyle w:val="ListParagraph"/>
              <w:rPr>
                <w:rFonts w:ascii="Avenir Next" w:hAnsi="Avenir Next"/>
                <w:sz w:val="20"/>
                <w:szCs w:val="20"/>
              </w:rPr>
            </w:pPr>
          </w:p>
        </w:tc>
        <w:tc>
          <w:tcPr>
            <w:tcW w:w="2126" w:type="dxa"/>
          </w:tcPr>
          <w:p w14:paraId="60F7E292" w14:textId="77777777" w:rsidR="00331991" w:rsidRPr="00331991" w:rsidRDefault="00331991" w:rsidP="00CE0AF6">
            <w:pPr>
              <w:rPr>
                <w:rFonts w:ascii="Avenir Next" w:hAnsi="Avenir Next"/>
                <w:sz w:val="20"/>
                <w:szCs w:val="20"/>
              </w:rPr>
            </w:pPr>
          </w:p>
        </w:tc>
        <w:tc>
          <w:tcPr>
            <w:tcW w:w="4360" w:type="dxa"/>
          </w:tcPr>
          <w:p w14:paraId="20BBD46E" w14:textId="77777777" w:rsidR="00331991" w:rsidRPr="00331991" w:rsidRDefault="00331991" w:rsidP="00CE0AF6">
            <w:pPr>
              <w:rPr>
                <w:rFonts w:ascii="Avenir Next" w:hAnsi="Avenir Next"/>
                <w:sz w:val="20"/>
                <w:szCs w:val="20"/>
              </w:rPr>
            </w:pPr>
          </w:p>
        </w:tc>
        <w:tc>
          <w:tcPr>
            <w:tcW w:w="3578" w:type="dxa"/>
          </w:tcPr>
          <w:p w14:paraId="60D14E2F" w14:textId="77777777" w:rsidR="00331991" w:rsidRPr="00331991" w:rsidRDefault="00331991" w:rsidP="00CE0AF6">
            <w:pPr>
              <w:rPr>
                <w:rFonts w:ascii="Avenir Next" w:hAnsi="Avenir Next"/>
                <w:sz w:val="20"/>
                <w:szCs w:val="20"/>
              </w:rPr>
            </w:pPr>
          </w:p>
        </w:tc>
      </w:tr>
      <w:tr w:rsidR="00331991" w:rsidRPr="00331991" w14:paraId="2ED51B25" w14:textId="77777777" w:rsidTr="005169E7">
        <w:tc>
          <w:tcPr>
            <w:tcW w:w="4248" w:type="dxa"/>
          </w:tcPr>
          <w:p w14:paraId="25D14AC8"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Does the J-REDD+ program articulate who the beneficiaries of the J-REDD+ programs’ activities are?</w:t>
            </w:r>
          </w:p>
          <w:p w14:paraId="692E952C" w14:textId="77777777" w:rsidR="00331991" w:rsidRPr="00331991" w:rsidRDefault="00331991" w:rsidP="00CE0AF6">
            <w:pPr>
              <w:pStyle w:val="ListParagraph"/>
              <w:rPr>
                <w:rFonts w:ascii="Avenir Next" w:hAnsi="Avenir Next"/>
                <w:sz w:val="20"/>
                <w:szCs w:val="20"/>
              </w:rPr>
            </w:pPr>
          </w:p>
        </w:tc>
        <w:tc>
          <w:tcPr>
            <w:tcW w:w="2126" w:type="dxa"/>
          </w:tcPr>
          <w:p w14:paraId="3B1DB3DE" w14:textId="77777777" w:rsidR="00331991" w:rsidRPr="00331991" w:rsidRDefault="00331991" w:rsidP="00CE0AF6">
            <w:pPr>
              <w:rPr>
                <w:rFonts w:ascii="Avenir Next" w:hAnsi="Avenir Next"/>
                <w:sz w:val="20"/>
                <w:szCs w:val="20"/>
              </w:rPr>
            </w:pPr>
          </w:p>
        </w:tc>
        <w:tc>
          <w:tcPr>
            <w:tcW w:w="4360" w:type="dxa"/>
          </w:tcPr>
          <w:p w14:paraId="7D8A214A" w14:textId="77777777" w:rsidR="00331991" w:rsidRPr="00331991" w:rsidRDefault="00331991" w:rsidP="00CE0AF6">
            <w:pPr>
              <w:rPr>
                <w:rFonts w:ascii="Avenir Next" w:hAnsi="Avenir Next"/>
                <w:sz w:val="20"/>
                <w:szCs w:val="20"/>
              </w:rPr>
            </w:pPr>
          </w:p>
        </w:tc>
        <w:tc>
          <w:tcPr>
            <w:tcW w:w="3578" w:type="dxa"/>
          </w:tcPr>
          <w:p w14:paraId="372C0553" w14:textId="77777777" w:rsidR="00331991" w:rsidRPr="00331991" w:rsidRDefault="00331991" w:rsidP="00CE0AF6">
            <w:pPr>
              <w:rPr>
                <w:rFonts w:ascii="Avenir Next" w:hAnsi="Avenir Next"/>
                <w:sz w:val="20"/>
                <w:szCs w:val="20"/>
              </w:rPr>
            </w:pPr>
          </w:p>
        </w:tc>
      </w:tr>
      <w:tr w:rsidR="00331991" w:rsidRPr="00331991" w14:paraId="48B36B3B" w14:textId="77777777" w:rsidTr="005169E7">
        <w:tc>
          <w:tcPr>
            <w:tcW w:w="4248" w:type="dxa"/>
          </w:tcPr>
          <w:p w14:paraId="407F13B0"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 xml:space="preserve">Does the J-REDD+ program articulate the </w:t>
            </w:r>
            <w:r w:rsidRPr="00331991">
              <w:rPr>
                <w:rFonts w:ascii="Avenir Next" w:hAnsi="Avenir Next"/>
                <w:sz w:val="20"/>
                <w:szCs w:val="20"/>
                <w:lang w:val="en-US"/>
              </w:rPr>
              <w:t>form of incentives/benefits that are provided through the distribution plan/system?</w:t>
            </w:r>
          </w:p>
          <w:p w14:paraId="66231815" w14:textId="77777777" w:rsidR="00331991" w:rsidRPr="00331991" w:rsidRDefault="00331991" w:rsidP="00CE0AF6">
            <w:pPr>
              <w:pStyle w:val="ListParagraph"/>
              <w:rPr>
                <w:rFonts w:ascii="Avenir Next" w:hAnsi="Avenir Next"/>
                <w:sz w:val="20"/>
                <w:szCs w:val="20"/>
              </w:rPr>
            </w:pPr>
          </w:p>
        </w:tc>
        <w:tc>
          <w:tcPr>
            <w:tcW w:w="2126" w:type="dxa"/>
          </w:tcPr>
          <w:p w14:paraId="6B5FD2F7" w14:textId="77777777" w:rsidR="00331991" w:rsidRPr="00331991" w:rsidRDefault="00331991" w:rsidP="00CE0AF6">
            <w:pPr>
              <w:rPr>
                <w:rFonts w:ascii="Avenir Next" w:hAnsi="Avenir Next"/>
                <w:sz w:val="20"/>
                <w:szCs w:val="20"/>
              </w:rPr>
            </w:pPr>
          </w:p>
        </w:tc>
        <w:tc>
          <w:tcPr>
            <w:tcW w:w="4360" w:type="dxa"/>
          </w:tcPr>
          <w:p w14:paraId="562D38CD" w14:textId="77777777" w:rsidR="00331991" w:rsidRPr="00331991" w:rsidRDefault="00331991" w:rsidP="00CE0AF6">
            <w:pPr>
              <w:rPr>
                <w:rFonts w:ascii="Avenir Next" w:hAnsi="Avenir Next"/>
                <w:sz w:val="20"/>
                <w:szCs w:val="20"/>
              </w:rPr>
            </w:pPr>
          </w:p>
        </w:tc>
        <w:tc>
          <w:tcPr>
            <w:tcW w:w="3578" w:type="dxa"/>
          </w:tcPr>
          <w:p w14:paraId="1FE9000B" w14:textId="77777777" w:rsidR="00331991" w:rsidRPr="00331991" w:rsidRDefault="00331991" w:rsidP="00CE0AF6">
            <w:pPr>
              <w:rPr>
                <w:rFonts w:ascii="Avenir Next" w:hAnsi="Avenir Next"/>
                <w:sz w:val="20"/>
                <w:szCs w:val="20"/>
              </w:rPr>
            </w:pPr>
          </w:p>
        </w:tc>
      </w:tr>
      <w:tr w:rsidR="00331991" w:rsidRPr="00331991" w14:paraId="57F5C305" w14:textId="77777777" w:rsidTr="005169E7">
        <w:trPr>
          <w:trHeight w:val="390"/>
        </w:trPr>
        <w:tc>
          <w:tcPr>
            <w:tcW w:w="14312" w:type="dxa"/>
            <w:gridSpan w:val="4"/>
            <w:shd w:val="clear" w:color="auto" w:fill="0E361A"/>
            <w:vAlign w:val="center"/>
          </w:tcPr>
          <w:p w14:paraId="092B29F8" w14:textId="4402A4B9" w:rsidR="00331991" w:rsidRPr="005169E7" w:rsidRDefault="00331991" w:rsidP="005169E7">
            <w:pPr>
              <w:rPr>
                <w:rFonts w:ascii="Avenir Next Ultra Light" w:hAnsi="Avenir Next Ultra Light"/>
                <w:b/>
                <w:bCs/>
                <w:color w:val="FFFFFF" w:themeColor="background1"/>
              </w:rPr>
            </w:pPr>
            <w:r w:rsidRPr="005169E7">
              <w:rPr>
                <w:rFonts w:ascii="Avenir Next Ultra Light" w:hAnsi="Avenir Next Ultra Light"/>
                <w:b/>
                <w:bCs/>
                <w:color w:val="FFFFFF" w:themeColor="background1"/>
              </w:rPr>
              <w:t>The Grievance Redress Mechanism(s) (GRMs)</w:t>
            </w:r>
          </w:p>
        </w:tc>
      </w:tr>
      <w:tr w:rsidR="00331991" w:rsidRPr="00331991" w14:paraId="4140296E" w14:textId="77777777" w:rsidTr="005169E7">
        <w:tc>
          <w:tcPr>
            <w:tcW w:w="4248" w:type="dxa"/>
            <w:shd w:val="clear" w:color="auto" w:fill="68807A"/>
            <w:vAlign w:val="center"/>
          </w:tcPr>
          <w:p w14:paraId="0A476BF0"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Criteria</w:t>
            </w:r>
          </w:p>
        </w:tc>
        <w:tc>
          <w:tcPr>
            <w:tcW w:w="2126" w:type="dxa"/>
            <w:shd w:val="clear" w:color="auto" w:fill="68807A"/>
            <w:vAlign w:val="center"/>
          </w:tcPr>
          <w:p w14:paraId="710496D9"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Scoring</w:t>
            </w:r>
          </w:p>
          <w:p w14:paraId="581BF9AB"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(Yes/No/Partially)</w:t>
            </w:r>
          </w:p>
        </w:tc>
        <w:tc>
          <w:tcPr>
            <w:tcW w:w="4360" w:type="dxa"/>
            <w:shd w:val="clear" w:color="auto" w:fill="68807A"/>
            <w:vAlign w:val="center"/>
          </w:tcPr>
          <w:p w14:paraId="4445F21B"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Comments</w:t>
            </w:r>
          </w:p>
        </w:tc>
        <w:tc>
          <w:tcPr>
            <w:tcW w:w="3578" w:type="dxa"/>
            <w:shd w:val="clear" w:color="auto" w:fill="68807A"/>
            <w:vAlign w:val="center"/>
          </w:tcPr>
          <w:p w14:paraId="4A65DF9B"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Means of verification</w:t>
            </w:r>
          </w:p>
        </w:tc>
      </w:tr>
      <w:tr w:rsidR="00331991" w:rsidRPr="00331991" w14:paraId="3E228CCB" w14:textId="77777777" w:rsidTr="005169E7">
        <w:tc>
          <w:tcPr>
            <w:tcW w:w="4248" w:type="dxa"/>
          </w:tcPr>
          <w:p w14:paraId="55823EEC" w14:textId="0435FE49"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 xml:space="preserve">Has the J-REDD+ program </w:t>
            </w:r>
            <w:r w:rsidR="001C439B" w:rsidRPr="00331991">
              <w:rPr>
                <w:rFonts w:ascii="Avenir Next" w:hAnsi="Avenir Next"/>
                <w:sz w:val="20"/>
                <w:szCs w:val="20"/>
              </w:rPr>
              <w:t>identified GRMs</w:t>
            </w:r>
            <w:r w:rsidRPr="00331991">
              <w:rPr>
                <w:rFonts w:ascii="Avenir Next" w:hAnsi="Avenir Next"/>
                <w:sz w:val="20"/>
                <w:szCs w:val="20"/>
              </w:rPr>
              <w:t xml:space="preserve"> applicable to the scope of the J-REDD+ program?</w:t>
            </w:r>
            <w:r w:rsidRPr="00331991">
              <w:rPr>
                <w:rStyle w:val="FootnoteReference"/>
                <w:rFonts w:ascii="Avenir Next" w:hAnsi="Avenir Next"/>
                <w:sz w:val="20"/>
                <w:szCs w:val="20"/>
              </w:rPr>
              <w:footnoteReference w:id="5"/>
            </w:r>
          </w:p>
          <w:p w14:paraId="00B4B509" w14:textId="77777777" w:rsidR="00331991" w:rsidRPr="00331991" w:rsidRDefault="00331991" w:rsidP="00CE0AF6">
            <w:pPr>
              <w:pStyle w:val="ListParagraph"/>
              <w:rPr>
                <w:rFonts w:ascii="Avenir Next" w:hAnsi="Avenir Next"/>
                <w:sz w:val="20"/>
                <w:szCs w:val="20"/>
              </w:rPr>
            </w:pPr>
          </w:p>
        </w:tc>
        <w:tc>
          <w:tcPr>
            <w:tcW w:w="2126" w:type="dxa"/>
          </w:tcPr>
          <w:p w14:paraId="2F91D0D2" w14:textId="77777777" w:rsidR="00331991" w:rsidRPr="00331991" w:rsidRDefault="00331991" w:rsidP="00CE0AF6">
            <w:pPr>
              <w:rPr>
                <w:rFonts w:ascii="Avenir Next" w:hAnsi="Avenir Next"/>
                <w:sz w:val="20"/>
                <w:szCs w:val="20"/>
              </w:rPr>
            </w:pPr>
          </w:p>
        </w:tc>
        <w:tc>
          <w:tcPr>
            <w:tcW w:w="4360" w:type="dxa"/>
          </w:tcPr>
          <w:p w14:paraId="0804C4C3" w14:textId="77777777" w:rsidR="00331991" w:rsidRPr="00331991" w:rsidRDefault="00331991" w:rsidP="00CE0AF6">
            <w:pPr>
              <w:rPr>
                <w:rFonts w:ascii="Avenir Next" w:hAnsi="Avenir Next"/>
                <w:sz w:val="20"/>
                <w:szCs w:val="20"/>
              </w:rPr>
            </w:pPr>
          </w:p>
        </w:tc>
        <w:tc>
          <w:tcPr>
            <w:tcW w:w="3578" w:type="dxa"/>
          </w:tcPr>
          <w:p w14:paraId="39FD1BDC" w14:textId="77777777" w:rsidR="00331991" w:rsidRPr="00331991" w:rsidRDefault="00331991" w:rsidP="00CE0AF6">
            <w:pPr>
              <w:rPr>
                <w:rFonts w:ascii="Avenir Next" w:hAnsi="Avenir Next"/>
                <w:sz w:val="20"/>
                <w:szCs w:val="20"/>
              </w:rPr>
            </w:pPr>
          </w:p>
        </w:tc>
      </w:tr>
      <w:tr w:rsidR="00331991" w:rsidRPr="00331991" w14:paraId="4C3B4394" w14:textId="77777777" w:rsidTr="005169E7">
        <w:tc>
          <w:tcPr>
            <w:tcW w:w="4248" w:type="dxa"/>
          </w:tcPr>
          <w:p w14:paraId="4E801D04"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lastRenderedPageBreak/>
              <w:t>Does the J-REDD+ program articulate ‘who’ will be responsible for the GRMs?</w:t>
            </w:r>
          </w:p>
          <w:p w14:paraId="23E5F10E" w14:textId="77777777" w:rsidR="00331991" w:rsidRPr="00331991" w:rsidRDefault="00331991" w:rsidP="00CE0AF6">
            <w:pPr>
              <w:pStyle w:val="ListParagraph"/>
              <w:rPr>
                <w:rFonts w:ascii="Avenir Next" w:hAnsi="Avenir Next"/>
                <w:sz w:val="20"/>
                <w:szCs w:val="20"/>
              </w:rPr>
            </w:pPr>
          </w:p>
        </w:tc>
        <w:tc>
          <w:tcPr>
            <w:tcW w:w="2126" w:type="dxa"/>
          </w:tcPr>
          <w:p w14:paraId="475D6E51" w14:textId="77777777" w:rsidR="00331991" w:rsidRPr="00331991" w:rsidRDefault="00331991" w:rsidP="00CE0AF6">
            <w:pPr>
              <w:rPr>
                <w:rFonts w:ascii="Avenir Next" w:hAnsi="Avenir Next"/>
                <w:sz w:val="20"/>
                <w:szCs w:val="20"/>
              </w:rPr>
            </w:pPr>
          </w:p>
        </w:tc>
        <w:tc>
          <w:tcPr>
            <w:tcW w:w="4360" w:type="dxa"/>
          </w:tcPr>
          <w:p w14:paraId="665DF729" w14:textId="77777777" w:rsidR="00331991" w:rsidRPr="00331991" w:rsidRDefault="00331991" w:rsidP="00CE0AF6">
            <w:pPr>
              <w:rPr>
                <w:rFonts w:ascii="Avenir Next" w:hAnsi="Avenir Next"/>
                <w:sz w:val="20"/>
                <w:szCs w:val="20"/>
              </w:rPr>
            </w:pPr>
          </w:p>
        </w:tc>
        <w:tc>
          <w:tcPr>
            <w:tcW w:w="3578" w:type="dxa"/>
          </w:tcPr>
          <w:p w14:paraId="3DDFC2A7" w14:textId="77777777" w:rsidR="00331991" w:rsidRPr="00331991" w:rsidRDefault="00331991" w:rsidP="00CE0AF6">
            <w:pPr>
              <w:rPr>
                <w:rFonts w:ascii="Avenir Next" w:hAnsi="Avenir Next"/>
                <w:sz w:val="20"/>
                <w:szCs w:val="20"/>
              </w:rPr>
            </w:pPr>
          </w:p>
        </w:tc>
      </w:tr>
      <w:tr w:rsidR="00331991" w:rsidRPr="00331991" w14:paraId="55E7AF8C" w14:textId="77777777" w:rsidTr="005169E7">
        <w:tc>
          <w:tcPr>
            <w:tcW w:w="4248" w:type="dxa"/>
          </w:tcPr>
          <w:p w14:paraId="189C667A"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Do the GRMs specify ‘how’ grievances will be resolved? [i.e. have a clear procedure, including timeframes]</w:t>
            </w:r>
          </w:p>
          <w:p w14:paraId="43140467" w14:textId="77777777" w:rsidR="00331991" w:rsidRPr="00331991" w:rsidRDefault="00331991" w:rsidP="00CE0AF6">
            <w:pPr>
              <w:pStyle w:val="ListParagraph"/>
              <w:rPr>
                <w:rFonts w:ascii="Avenir Next" w:hAnsi="Avenir Next"/>
                <w:sz w:val="20"/>
                <w:szCs w:val="20"/>
              </w:rPr>
            </w:pPr>
          </w:p>
        </w:tc>
        <w:tc>
          <w:tcPr>
            <w:tcW w:w="2126" w:type="dxa"/>
          </w:tcPr>
          <w:p w14:paraId="71F9B217" w14:textId="77777777" w:rsidR="00331991" w:rsidRPr="00331991" w:rsidRDefault="00331991" w:rsidP="00CE0AF6">
            <w:pPr>
              <w:rPr>
                <w:rFonts w:ascii="Avenir Next" w:hAnsi="Avenir Next"/>
                <w:sz w:val="20"/>
                <w:szCs w:val="20"/>
              </w:rPr>
            </w:pPr>
          </w:p>
        </w:tc>
        <w:tc>
          <w:tcPr>
            <w:tcW w:w="4360" w:type="dxa"/>
          </w:tcPr>
          <w:p w14:paraId="133211EC" w14:textId="77777777" w:rsidR="00331991" w:rsidRPr="00331991" w:rsidRDefault="00331991" w:rsidP="00CE0AF6">
            <w:pPr>
              <w:rPr>
                <w:rFonts w:ascii="Avenir Next" w:hAnsi="Avenir Next"/>
                <w:sz w:val="20"/>
                <w:szCs w:val="20"/>
              </w:rPr>
            </w:pPr>
          </w:p>
        </w:tc>
        <w:tc>
          <w:tcPr>
            <w:tcW w:w="3578" w:type="dxa"/>
          </w:tcPr>
          <w:p w14:paraId="02E63E10" w14:textId="77777777" w:rsidR="00331991" w:rsidRPr="00331991" w:rsidRDefault="00331991" w:rsidP="00CE0AF6">
            <w:pPr>
              <w:rPr>
                <w:rFonts w:ascii="Avenir Next" w:hAnsi="Avenir Next"/>
                <w:sz w:val="20"/>
                <w:szCs w:val="20"/>
              </w:rPr>
            </w:pPr>
          </w:p>
        </w:tc>
      </w:tr>
      <w:tr w:rsidR="00331991" w:rsidRPr="00331991" w14:paraId="41C8DE45" w14:textId="77777777" w:rsidTr="005169E7">
        <w:tc>
          <w:tcPr>
            <w:tcW w:w="4248" w:type="dxa"/>
          </w:tcPr>
          <w:p w14:paraId="34466F7F"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Do the GRMs have a registry of grievances?</w:t>
            </w:r>
          </w:p>
          <w:p w14:paraId="0D301941" w14:textId="77777777" w:rsidR="00331991" w:rsidRPr="00331991" w:rsidRDefault="00331991" w:rsidP="00CE0AF6">
            <w:pPr>
              <w:pStyle w:val="ListParagraph"/>
              <w:rPr>
                <w:rFonts w:ascii="Avenir Next" w:hAnsi="Avenir Next"/>
                <w:sz w:val="20"/>
                <w:szCs w:val="20"/>
              </w:rPr>
            </w:pPr>
          </w:p>
        </w:tc>
        <w:tc>
          <w:tcPr>
            <w:tcW w:w="2126" w:type="dxa"/>
          </w:tcPr>
          <w:p w14:paraId="09459C59" w14:textId="77777777" w:rsidR="00331991" w:rsidRPr="00331991" w:rsidRDefault="00331991" w:rsidP="00CE0AF6">
            <w:pPr>
              <w:rPr>
                <w:rFonts w:ascii="Avenir Next" w:hAnsi="Avenir Next"/>
                <w:sz w:val="20"/>
                <w:szCs w:val="20"/>
              </w:rPr>
            </w:pPr>
          </w:p>
        </w:tc>
        <w:tc>
          <w:tcPr>
            <w:tcW w:w="4360" w:type="dxa"/>
          </w:tcPr>
          <w:p w14:paraId="4E8BAB9E" w14:textId="77777777" w:rsidR="00331991" w:rsidRPr="00331991" w:rsidRDefault="00331991" w:rsidP="00CE0AF6">
            <w:pPr>
              <w:rPr>
                <w:rFonts w:ascii="Avenir Next" w:hAnsi="Avenir Next"/>
                <w:sz w:val="20"/>
                <w:szCs w:val="20"/>
              </w:rPr>
            </w:pPr>
          </w:p>
        </w:tc>
        <w:tc>
          <w:tcPr>
            <w:tcW w:w="3578" w:type="dxa"/>
          </w:tcPr>
          <w:p w14:paraId="5F43A975" w14:textId="77777777" w:rsidR="00331991" w:rsidRPr="00331991" w:rsidRDefault="00331991" w:rsidP="00CE0AF6">
            <w:pPr>
              <w:rPr>
                <w:rFonts w:ascii="Avenir Next" w:hAnsi="Avenir Next"/>
                <w:sz w:val="20"/>
                <w:szCs w:val="20"/>
              </w:rPr>
            </w:pPr>
          </w:p>
        </w:tc>
      </w:tr>
      <w:tr w:rsidR="00331991" w:rsidRPr="00331991" w14:paraId="5995BE5D" w14:textId="77777777" w:rsidTr="005169E7">
        <w:trPr>
          <w:trHeight w:val="426"/>
        </w:trPr>
        <w:tc>
          <w:tcPr>
            <w:tcW w:w="14312" w:type="dxa"/>
            <w:gridSpan w:val="4"/>
            <w:shd w:val="clear" w:color="auto" w:fill="0E361A"/>
            <w:vAlign w:val="center"/>
          </w:tcPr>
          <w:p w14:paraId="7A779B82" w14:textId="580E33BB" w:rsidR="00331991" w:rsidRPr="005169E7" w:rsidRDefault="00331991" w:rsidP="005169E7">
            <w:pPr>
              <w:tabs>
                <w:tab w:val="center" w:pos="7048"/>
              </w:tabs>
              <w:rPr>
                <w:rFonts w:ascii="Avenir Next Ultra Light" w:hAnsi="Avenir Next Ultra Light"/>
                <w:b/>
                <w:bCs/>
                <w:color w:val="FFFFFF" w:themeColor="background1"/>
              </w:rPr>
            </w:pPr>
            <w:r w:rsidRPr="005169E7">
              <w:rPr>
                <w:rFonts w:ascii="Avenir Next Ultra Light" w:hAnsi="Avenir Next Ultra Light"/>
                <w:b/>
                <w:bCs/>
                <w:color w:val="FFFFFF" w:themeColor="background1"/>
              </w:rPr>
              <w:t>The J-REDD+ program’s participatory approaches</w:t>
            </w:r>
            <w:r w:rsidR="005169E7" w:rsidRPr="005169E7">
              <w:rPr>
                <w:rFonts w:ascii="Avenir Next Ultra Light" w:hAnsi="Avenir Next Ultra Light"/>
                <w:b/>
                <w:bCs/>
                <w:color w:val="FFFFFF" w:themeColor="background1"/>
              </w:rPr>
              <w:tab/>
            </w:r>
          </w:p>
        </w:tc>
      </w:tr>
      <w:tr w:rsidR="00331991" w:rsidRPr="00331991" w14:paraId="0B065420" w14:textId="77777777" w:rsidTr="005169E7">
        <w:tc>
          <w:tcPr>
            <w:tcW w:w="4248" w:type="dxa"/>
            <w:shd w:val="clear" w:color="auto" w:fill="68807A"/>
            <w:vAlign w:val="center"/>
          </w:tcPr>
          <w:p w14:paraId="60B4E474"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Criteria</w:t>
            </w:r>
          </w:p>
        </w:tc>
        <w:tc>
          <w:tcPr>
            <w:tcW w:w="2126" w:type="dxa"/>
            <w:shd w:val="clear" w:color="auto" w:fill="68807A"/>
            <w:vAlign w:val="center"/>
          </w:tcPr>
          <w:p w14:paraId="16AD1AD9"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Scoring</w:t>
            </w:r>
          </w:p>
          <w:p w14:paraId="09EBAF1B"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(Yes/No/Partially)</w:t>
            </w:r>
          </w:p>
        </w:tc>
        <w:tc>
          <w:tcPr>
            <w:tcW w:w="4360" w:type="dxa"/>
            <w:shd w:val="clear" w:color="auto" w:fill="68807A"/>
            <w:vAlign w:val="center"/>
          </w:tcPr>
          <w:p w14:paraId="31A96218"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Comments</w:t>
            </w:r>
          </w:p>
        </w:tc>
        <w:tc>
          <w:tcPr>
            <w:tcW w:w="3578" w:type="dxa"/>
            <w:shd w:val="clear" w:color="auto" w:fill="68807A"/>
            <w:vAlign w:val="center"/>
          </w:tcPr>
          <w:p w14:paraId="4A2510E7"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Means of verification</w:t>
            </w:r>
          </w:p>
        </w:tc>
      </w:tr>
      <w:tr w:rsidR="00331991" w:rsidRPr="00331991" w14:paraId="0DE783C1" w14:textId="77777777" w:rsidTr="005169E7">
        <w:tc>
          <w:tcPr>
            <w:tcW w:w="4248" w:type="dxa"/>
          </w:tcPr>
          <w:p w14:paraId="0CD5F9D0"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Does the J-REDD+ program have a participatory/consultative process or procedure in place? [such as a stakeholder engagement plan that determines which, how and when stakeholders will be involved in the implementation and monitoring of the J-REDD+ program]</w:t>
            </w:r>
          </w:p>
          <w:p w14:paraId="07DD5E28" w14:textId="77777777" w:rsidR="00331991" w:rsidRPr="00331991" w:rsidRDefault="00331991" w:rsidP="00CE0AF6">
            <w:pPr>
              <w:ind w:left="360"/>
              <w:rPr>
                <w:rFonts w:ascii="Avenir Next" w:hAnsi="Avenir Next"/>
                <w:sz w:val="20"/>
                <w:szCs w:val="20"/>
              </w:rPr>
            </w:pPr>
          </w:p>
        </w:tc>
        <w:tc>
          <w:tcPr>
            <w:tcW w:w="2126" w:type="dxa"/>
          </w:tcPr>
          <w:p w14:paraId="5271E3D8" w14:textId="77777777" w:rsidR="00331991" w:rsidRPr="00331991" w:rsidRDefault="00331991" w:rsidP="00CE0AF6">
            <w:pPr>
              <w:rPr>
                <w:rFonts w:ascii="Avenir Next" w:hAnsi="Avenir Next"/>
                <w:sz w:val="20"/>
                <w:szCs w:val="20"/>
              </w:rPr>
            </w:pPr>
          </w:p>
        </w:tc>
        <w:tc>
          <w:tcPr>
            <w:tcW w:w="4360" w:type="dxa"/>
          </w:tcPr>
          <w:p w14:paraId="763EC1F6" w14:textId="77777777" w:rsidR="00331991" w:rsidRPr="00331991" w:rsidRDefault="00331991" w:rsidP="00CE0AF6">
            <w:pPr>
              <w:rPr>
                <w:rFonts w:ascii="Avenir Next" w:hAnsi="Avenir Next"/>
                <w:sz w:val="20"/>
                <w:szCs w:val="20"/>
              </w:rPr>
            </w:pPr>
          </w:p>
        </w:tc>
        <w:tc>
          <w:tcPr>
            <w:tcW w:w="3578" w:type="dxa"/>
          </w:tcPr>
          <w:p w14:paraId="60A3FB2B" w14:textId="77777777" w:rsidR="00331991" w:rsidRPr="00331991" w:rsidRDefault="00331991" w:rsidP="00CE0AF6">
            <w:pPr>
              <w:rPr>
                <w:rFonts w:ascii="Avenir Next" w:hAnsi="Avenir Next"/>
                <w:sz w:val="20"/>
                <w:szCs w:val="20"/>
              </w:rPr>
            </w:pPr>
          </w:p>
        </w:tc>
      </w:tr>
      <w:tr w:rsidR="00331991" w:rsidRPr="00331991" w14:paraId="6048F0EC" w14:textId="77777777" w:rsidTr="005169E7">
        <w:tc>
          <w:tcPr>
            <w:tcW w:w="4248" w:type="dxa"/>
          </w:tcPr>
          <w:p w14:paraId="05B64282"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 xml:space="preserve">Does the J-REDD+ program have a multi-stakeholder platform or equivalent in place, which is used to promote the participation and inclusion of stakeholders in the </w:t>
            </w:r>
            <w:r w:rsidRPr="00331991">
              <w:rPr>
                <w:rFonts w:ascii="Avenir Next" w:hAnsi="Avenir Next"/>
                <w:sz w:val="20"/>
                <w:szCs w:val="20"/>
              </w:rPr>
              <w:lastRenderedPageBreak/>
              <w:t>context of its decision-making, implementation and monitoring?</w:t>
            </w:r>
            <w:r w:rsidRPr="00331991">
              <w:rPr>
                <w:rStyle w:val="FootnoteReference"/>
                <w:rFonts w:ascii="Avenir Next" w:hAnsi="Avenir Next"/>
                <w:sz w:val="20"/>
                <w:szCs w:val="20"/>
              </w:rPr>
              <w:footnoteReference w:id="6"/>
            </w:r>
          </w:p>
          <w:p w14:paraId="3C221BF7" w14:textId="77777777" w:rsidR="00331991" w:rsidRPr="00331991" w:rsidRDefault="00331991" w:rsidP="00CE0AF6">
            <w:pPr>
              <w:rPr>
                <w:rFonts w:ascii="Avenir Next" w:hAnsi="Avenir Next"/>
                <w:sz w:val="20"/>
                <w:szCs w:val="20"/>
              </w:rPr>
            </w:pPr>
          </w:p>
        </w:tc>
        <w:tc>
          <w:tcPr>
            <w:tcW w:w="2126" w:type="dxa"/>
          </w:tcPr>
          <w:p w14:paraId="0397A90D" w14:textId="77777777" w:rsidR="00331991" w:rsidRPr="00331991" w:rsidRDefault="00331991" w:rsidP="00CE0AF6">
            <w:pPr>
              <w:rPr>
                <w:rFonts w:ascii="Avenir Next" w:hAnsi="Avenir Next"/>
                <w:sz w:val="20"/>
                <w:szCs w:val="20"/>
              </w:rPr>
            </w:pPr>
          </w:p>
        </w:tc>
        <w:tc>
          <w:tcPr>
            <w:tcW w:w="4360" w:type="dxa"/>
          </w:tcPr>
          <w:p w14:paraId="6C3D14C9" w14:textId="77777777" w:rsidR="00331991" w:rsidRPr="00331991" w:rsidRDefault="00331991" w:rsidP="00CE0AF6">
            <w:pPr>
              <w:rPr>
                <w:rFonts w:ascii="Avenir Next" w:hAnsi="Avenir Next"/>
                <w:sz w:val="20"/>
                <w:szCs w:val="20"/>
              </w:rPr>
            </w:pPr>
          </w:p>
        </w:tc>
        <w:tc>
          <w:tcPr>
            <w:tcW w:w="3578" w:type="dxa"/>
          </w:tcPr>
          <w:p w14:paraId="7E5364A4" w14:textId="77777777" w:rsidR="00331991" w:rsidRPr="00331991" w:rsidRDefault="00331991" w:rsidP="00CE0AF6">
            <w:pPr>
              <w:rPr>
                <w:rFonts w:ascii="Avenir Next" w:hAnsi="Avenir Next"/>
                <w:sz w:val="20"/>
                <w:szCs w:val="20"/>
              </w:rPr>
            </w:pPr>
          </w:p>
        </w:tc>
      </w:tr>
      <w:tr w:rsidR="00331991" w:rsidRPr="00331991" w14:paraId="172AA523" w14:textId="77777777" w:rsidTr="005169E7">
        <w:trPr>
          <w:trHeight w:val="408"/>
        </w:trPr>
        <w:tc>
          <w:tcPr>
            <w:tcW w:w="14312" w:type="dxa"/>
            <w:gridSpan w:val="4"/>
            <w:shd w:val="clear" w:color="auto" w:fill="0E361A"/>
            <w:vAlign w:val="center"/>
          </w:tcPr>
          <w:p w14:paraId="25FA8770" w14:textId="65F36183" w:rsidR="00331991" w:rsidRPr="005169E7" w:rsidRDefault="00331991" w:rsidP="005169E7">
            <w:pPr>
              <w:rPr>
                <w:rFonts w:ascii="Avenir Next Ultra Light" w:hAnsi="Avenir Next Ultra Light"/>
                <w:b/>
                <w:bCs/>
              </w:rPr>
            </w:pPr>
            <w:r w:rsidRPr="005169E7">
              <w:rPr>
                <w:rFonts w:ascii="Avenir Next Ultra Light" w:hAnsi="Avenir Next Ultra Light"/>
                <w:b/>
                <w:bCs/>
              </w:rPr>
              <w:t>The Summary of Information (SOI)</w:t>
            </w:r>
          </w:p>
        </w:tc>
      </w:tr>
      <w:tr w:rsidR="00331991" w:rsidRPr="00331991" w14:paraId="7E0A9920" w14:textId="77777777" w:rsidTr="005169E7">
        <w:tc>
          <w:tcPr>
            <w:tcW w:w="4248" w:type="dxa"/>
            <w:shd w:val="clear" w:color="auto" w:fill="68807A"/>
            <w:vAlign w:val="center"/>
          </w:tcPr>
          <w:p w14:paraId="5A0DF433"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Criteria</w:t>
            </w:r>
          </w:p>
        </w:tc>
        <w:tc>
          <w:tcPr>
            <w:tcW w:w="2126" w:type="dxa"/>
            <w:shd w:val="clear" w:color="auto" w:fill="68807A"/>
            <w:vAlign w:val="center"/>
          </w:tcPr>
          <w:p w14:paraId="645E231D"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Scoring</w:t>
            </w:r>
          </w:p>
          <w:p w14:paraId="0A760088"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(Yes/No/Partially)</w:t>
            </w:r>
          </w:p>
        </w:tc>
        <w:tc>
          <w:tcPr>
            <w:tcW w:w="4360" w:type="dxa"/>
            <w:shd w:val="clear" w:color="auto" w:fill="68807A"/>
            <w:vAlign w:val="center"/>
          </w:tcPr>
          <w:p w14:paraId="6BFF1195"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Comments</w:t>
            </w:r>
          </w:p>
        </w:tc>
        <w:tc>
          <w:tcPr>
            <w:tcW w:w="3578" w:type="dxa"/>
            <w:shd w:val="clear" w:color="auto" w:fill="68807A"/>
            <w:vAlign w:val="center"/>
          </w:tcPr>
          <w:p w14:paraId="33527977" w14:textId="77777777" w:rsidR="00331991" w:rsidRPr="005169E7" w:rsidRDefault="00331991" w:rsidP="005169E7">
            <w:pPr>
              <w:jc w:val="center"/>
              <w:rPr>
                <w:rFonts w:ascii="Bodoni 72 Book" w:hAnsi="Bodoni 72 Book"/>
                <w:sz w:val="22"/>
                <w:szCs w:val="22"/>
              </w:rPr>
            </w:pPr>
            <w:r w:rsidRPr="005169E7">
              <w:rPr>
                <w:rFonts w:ascii="Bodoni 72 Book" w:hAnsi="Bodoni 72 Book"/>
                <w:sz w:val="22"/>
                <w:szCs w:val="22"/>
              </w:rPr>
              <w:t>Means of verification</w:t>
            </w:r>
          </w:p>
        </w:tc>
      </w:tr>
      <w:tr w:rsidR="00331991" w:rsidRPr="00331991" w14:paraId="06FC67A9" w14:textId="77777777" w:rsidTr="005169E7">
        <w:tc>
          <w:tcPr>
            <w:tcW w:w="4248" w:type="dxa"/>
          </w:tcPr>
          <w:p w14:paraId="77A16B17"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Has a SOI been submitted at the to the UNFCCC?</w:t>
            </w:r>
          </w:p>
          <w:p w14:paraId="069644F9" w14:textId="77777777" w:rsidR="00331991" w:rsidRPr="00331991" w:rsidRDefault="00331991" w:rsidP="00CE0AF6">
            <w:pPr>
              <w:pStyle w:val="ListParagraph"/>
              <w:rPr>
                <w:rFonts w:ascii="Avenir Next" w:hAnsi="Avenir Next"/>
                <w:sz w:val="20"/>
                <w:szCs w:val="20"/>
              </w:rPr>
            </w:pPr>
          </w:p>
        </w:tc>
        <w:tc>
          <w:tcPr>
            <w:tcW w:w="2126" w:type="dxa"/>
          </w:tcPr>
          <w:p w14:paraId="4DE0C26C" w14:textId="77777777" w:rsidR="00331991" w:rsidRPr="00331991" w:rsidRDefault="00331991" w:rsidP="00CE0AF6">
            <w:pPr>
              <w:rPr>
                <w:rFonts w:ascii="Avenir Next" w:hAnsi="Avenir Next"/>
                <w:sz w:val="20"/>
                <w:szCs w:val="20"/>
              </w:rPr>
            </w:pPr>
          </w:p>
        </w:tc>
        <w:tc>
          <w:tcPr>
            <w:tcW w:w="4360" w:type="dxa"/>
          </w:tcPr>
          <w:p w14:paraId="428F8B64" w14:textId="77777777" w:rsidR="00331991" w:rsidRPr="00331991" w:rsidRDefault="00331991" w:rsidP="00CE0AF6">
            <w:pPr>
              <w:rPr>
                <w:rFonts w:ascii="Avenir Next" w:hAnsi="Avenir Next"/>
                <w:sz w:val="20"/>
                <w:szCs w:val="20"/>
              </w:rPr>
            </w:pPr>
          </w:p>
        </w:tc>
        <w:tc>
          <w:tcPr>
            <w:tcW w:w="3578" w:type="dxa"/>
          </w:tcPr>
          <w:p w14:paraId="17E35339" w14:textId="77777777" w:rsidR="00331991" w:rsidRPr="00331991" w:rsidRDefault="00331991" w:rsidP="00CE0AF6">
            <w:pPr>
              <w:rPr>
                <w:rFonts w:ascii="Avenir Next" w:hAnsi="Avenir Next"/>
                <w:sz w:val="20"/>
                <w:szCs w:val="20"/>
              </w:rPr>
            </w:pPr>
          </w:p>
        </w:tc>
      </w:tr>
      <w:tr w:rsidR="00331991" w:rsidRPr="00331991" w14:paraId="4FC6DEEF" w14:textId="77777777" w:rsidTr="005169E7">
        <w:tc>
          <w:tcPr>
            <w:tcW w:w="4248" w:type="dxa"/>
          </w:tcPr>
          <w:p w14:paraId="1C21697B" w14:textId="77777777" w:rsidR="00331991" w:rsidRPr="00331991" w:rsidRDefault="00331991" w:rsidP="00331991">
            <w:pPr>
              <w:pStyle w:val="ListParagraph"/>
              <w:numPr>
                <w:ilvl w:val="0"/>
                <w:numId w:val="15"/>
              </w:numPr>
              <w:rPr>
                <w:rFonts w:ascii="Avenir Next" w:hAnsi="Avenir Next"/>
                <w:sz w:val="20"/>
                <w:szCs w:val="20"/>
              </w:rPr>
            </w:pPr>
            <w:r w:rsidRPr="00331991">
              <w:rPr>
                <w:rFonts w:ascii="Avenir Next" w:hAnsi="Avenir Next"/>
                <w:sz w:val="20"/>
                <w:szCs w:val="20"/>
              </w:rPr>
              <w:t>Has a SOI been submitted in correlation to the period for which RBP are being claimed for?</w:t>
            </w:r>
          </w:p>
          <w:p w14:paraId="48D8582B" w14:textId="77777777" w:rsidR="00331991" w:rsidRPr="00331991" w:rsidRDefault="00331991" w:rsidP="00CE0AF6">
            <w:pPr>
              <w:ind w:left="360"/>
              <w:rPr>
                <w:rFonts w:ascii="Avenir Next" w:hAnsi="Avenir Next"/>
                <w:sz w:val="20"/>
                <w:szCs w:val="20"/>
              </w:rPr>
            </w:pPr>
          </w:p>
        </w:tc>
        <w:tc>
          <w:tcPr>
            <w:tcW w:w="2126" w:type="dxa"/>
          </w:tcPr>
          <w:p w14:paraId="2EBB4436" w14:textId="77777777" w:rsidR="00331991" w:rsidRPr="00331991" w:rsidRDefault="00331991" w:rsidP="00CE0AF6">
            <w:pPr>
              <w:rPr>
                <w:rFonts w:ascii="Avenir Next" w:hAnsi="Avenir Next"/>
                <w:sz w:val="20"/>
                <w:szCs w:val="20"/>
              </w:rPr>
            </w:pPr>
          </w:p>
        </w:tc>
        <w:tc>
          <w:tcPr>
            <w:tcW w:w="4360" w:type="dxa"/>
          </w:tcPr>
          <w:p w14:paraId="6134963E" w14:textId="77777777" w:rsidR="00331991" w:rsidRPr="00331991" w:rsidRDefault="00331991" w:rsidP="00CE0AF6">
            <w:pPr>
              <w:rPr>
                <w:rFonts w:ascii="Avenir Next" w:hAnsi="Avenir Next"/>
                <w:sz w:val="20"/>
                <w:szCs w:val="20"/>
              </w:rPr>
            </w:pPr>
          </w:p>
        </w:tc>
        <w:tc>
          <w:tcPr>
            <w:tcW w:w="3578" w:type="dxa"/>
          </w:tcPr>
          <w:p w14:paraId="3974C56E" w14:textId="77777777" w:rsidR="00331991" w:rsidRPr="00331991" w:rsidRDefault="00331991" w:rsidP="00CE0AF6">
            <w:pPr>
              <w:rPr>
                <w:rFonts w:ascii="Avenir Next" w:hAnsi="Avenir Next"/>
                <w:sz w:val="20"/>
                <w:szCs w:val="20"/>
              </w:rPr>
            </w:pPr>
          </w:p>
        </w:tc>
      </w:tr>
    </w:tbl>
    <w:p w14:paraId="46A473C6" w14:textId="77777777" w:rsidR="00331991" w:rsidRDefault="00331991">
      <w:pPr>
        <w:spacing w:before="120" w:after="120" w:line="336" w:lineRule="auto"/>
        <w:rPr>
          <w:rFonts w:ascii="IBM Plex Sans" w:eastAsia="IBM Plex Sans" w:hAnsi="IBM Plex Sans" w:cs="IBM Plex Sans"/>
          <w:color w:val="000000"/>
        </w:rPr>
      </w:pPr>
    </w:p>
    <w:p w14:paraId="04543460" w14:textId="77777777" w:rsidR="005169E7" w:rsidRDefault="005169E7">
      <w:pPr>
        <w:spacing w:before="120" w:after="120" w:line="336" w:lineRule="auto"/>
        <w:rPr>
          <w:rFonts w:ascii="IBM Plex Sans" w:eastAsia="IBM Plex Sans" w:hAnsi="IBM Plex Sans" w:cs="IBM Plex Sans"/>
          <w:color w:val="000000"/>
        </w:rPr>
      </w:pPr>
    </w:p>
    <w:p w14:paraId="5420D29A" w14:textId="77777777" w:rsidR="005169E7" w:rsidRDefault="005169E7">
      <w:pPr>
        <w:spacing w:before="120" w:after="120" w:line="336" w:lineRule="auto"/>
        <w:rPr>
          <w:rFonts w:ascii="IBM Plex Sans" w:eastAsia="IBM Plex Sans" w:hAnsi="IBM Plex Sans" w:cs="IBM Plex Sans"/>
          <w:color w:val="000000"/>
        </w:rPr>
      </w:pPr>
    </w:p>
    <w:p w14:paraId="43FB42C5" w14:textId="77777777" w:rsidR="005169E7" w:rsidRDefault="005169E7">
      <w:pPr>
        <w:spacing w:before="120" w:after="120" w:line="336" w:lineRule="auto"/>
        <w:rPr>
          <w:rFonts w:ascii="IBM Plex Sans" w:eastAsia="IBM Plex Sans" w:hAnsi="IBM Plex Sans" w:cs="IBM Plex Sans"/>
          <w:color w:val="000000"/>
        </w:rPr>
      </w:pPr>
    </w:p>
    <w:p w14:paraId="5F2BF884" w14:textId="77777777" w:rsidR="005169E7" w:rsidRDefault="005169E7">
      <w:pPr>
        <w:spacing w:before="120" w:after="120" w:line="336" w:lineRule="auto"/>
        <w:rPr>
          <w:rFonts w:ascii="IBM Plex Sans" w:eastAsia="IBM Plex Sans" w:hAnsi="IBM Plex Sans" w:cs="IBM Plex Sans"/>
          <w:color w:val="000000"/>
        </w:rPr>
      </w:pPr>
    </w:p>
    <w:p w14:paraId="07413EA3" w14:textId="77777777" w:rsidR="005169E7" w:rsidRDefault="005169E7">
      <w:pPr>
        <w:spacing w:before="120" w:after="120" w:line="336" w:lineRule="auto"/>
        <w:rPr>
          <w:rFonts w:ascii="IBM Plex Sans" w:eastAsia="IBM Plex Sans" w:hAnsi="IBM Plex Sans" w:cs="IBM Plex Sans"/>
          <w:color w:val="000000"/>
        </w:rPr>
      </w:pPr>
    </w:p>
    <w:p w14:paraId="16D16397" w14:textId="77777777" w:rsidR="005169E7" w:rsidRDefault="005169E7">
      <w:pPr>
        <w:spacing w:before="120" w:after="120" w:line="336" w:lineRule="auto"/>
        <w:rPr>
          <w:rFonts w:ascii="IBM Plex Sans" w:eastAsia="IBM Plex Sans" w:hAnsi="IBM Plex Sans" w:cs="IBM Plex Sans"/>
          <w:color w:val="000000"/>
        </w:rPr>
      </w:pPr>
    </w:p>
    <w:p w14:paraId="1B68D80A" w14:textId="77777777" w:rsidR="00FA49D6" w:rsidRDefault="00FA49D6">
      <w:pPr>
        <w:spacing w:before="120" w:after="120" w:line="336" w:lineRule="auto"/>
        <w:rPr>
          <w:rFonts w:ascii="Bodoni 72 Book" w:eastAsia="Montserrat" w:hAnsi="Bodoni 72 Book" w:cs="Montserrat"/>
          <w:color w:val="0E361A"/>
          <w:sz w:val="64"/>
          <w:szCs w:val="64"/>
        </w:rPr>
        <w:sectPr w:rsidR="00FA49D6" w:rsidSect="001506A1">
          <w:pgSz w:w="16845" w:h="11910" w:orient="landscape"/>
          <w:pgMar w:top="1440" w:right="1440" w:bottom="1440" w:left="1440" w:header="720" w:footer="720" w:gutter="0"/>
          <w:cols w:space="720"/>
          <w:docGrid w:linePitch="326"/>
        </w:sectPr>
      </w:pPr>
    </w:p>
    <w:p w14:paraId="31FB7D77" w14:textId="7B922641" w:rsidR="00461F5C" w:rsidRPr="005169E7" w:rsidRDefault="005169E7">
      <w:pPr>
        <w:spacing w:before="120" w:after="120" w:line="336" w:lineRule="auto"/>
        <w:rPr>
          <w:rFonts w:ascii="Bodoni 72 Book" w:hAnsi="Bodoni 72 Book"/>
          <w:color w:val="0E361A"/>
        </w:rPr>
      </w:pPr>
      <w:r w:rsidRPr="005169E7">
        <w:rPr>
          <w:rFonts w:ascii="Bodoni 72 Book" w:eastAsia="Montserrat" w:hAnsi="Bodoni 72 Book" w:cs="Montserrat"/>
          <w:color w:val="0E361A"/>
          <w:sz w:val="64"/>
          <w:szCs w:val="64"/>
        </w:rPr>
        <w:lastRenderedPageBreak/>
        <w:t>Section B: J-REDD safeguards screening report template</w:t>
      </w:r>
    </w:p>
    <w:p w14:paraId="18091DEB" w14:textId="77777777" w:rsidR="00461F5C" w:rsidRDefault="00461F5C">
      <w:pPr>
        <w:pBdr>
          <w:bottom w:val="single" w:sz="6" w:space="0" w:color="076C72"/>
        </w:pBdr>
        <w:spacing w:before="120" w:after="120" w:line="0" w:lineRule="auto"/>
      </w:pPr>
    </w:p>
    <w:p w14:paraId="1CAC9FA8" w14:textId="3610E902" w:rsidR="00FA49D6" w:rsidRDefault="00FA49D6" w:rsidP="00FA49D6">
      <w:pPr>
        <w:rPr>
          <w:rFonts w:ascii="Avenir Next" w:hAnsi="Avenir Next"/>
          <w:sz w:val="20"/>
          <w:szCs w:val="20"/>
        </w:rPr>
      </w:pPr>
      <w:r w:rsidRPr="00FA49D6">
        <w:rPr>
          <w:rFonts w:ascii="Avenir Next" w:hAnsi="Avenir Next"/>
          <w:sz w:val="20"/>
          <w:szCs w:val="20"/>
        </w:rPr>
        <w:t xml:space="preserve">As previously noted, the objective of the screening is to primarily </w:t>
      </w:r>
      <w:r w:rsidRPr="00FA49D6">
        <w:rPr>
          <w:rFonts w:ascii="Avenir Next" w:hAnsi="Avenir Next"/>
          <w:b/>
          <w:bCs/>
          <w:sz w:val="20"/>
          <w:szCs w:val="20"/>
        </w:rPr>
        <w:t>identify</w:t>
      </w:r>
      <w:r w:rsidRPr="00FA49D6">
        <w:rPr>
          <w:rFonts w:ascii="Avenir Next" w:hAnsi="Avenir Next"/>
          <w:sz w:val="20"/>
          <w:szCs w:val="20"/>
        </w:rPr>
        <w:t xml:space="preserve"> if the J-REDD+ program has the minimum elements in place and identify any gaps. Accordingly, this template report aims to:</w:t>
      </w:r>
    </w:p>
    <w:p w14:paraId="4CB4DFD4" w14:textId="77777777" w:rsidR="00FA49D6" w:rsidRDefault="00FA49D6" w:rsidP="00FA49D6">
      <w:pPr>
        <w:pStyle w:val="ListParagraph"/>
        <w:numPr>
          <w:ilvl w:val="0"/>
          <w:numId w:val="18"/>
        </w:numPr>
        <w:rPr>
          <w:rFonts w:ascii="Avenir Next" w:hAnsi="Avenir Next"/>
          <w:sz w:val="20"/>
          <w:szCs w:val="20"/>
        </w:rPr>
      </w:pPr>
      <w:r w:rsidRPr="00FA49D6">
        <w:rPr>
          <w:rFonts w:ascii="Avenir Next" w:hAnsi="Avenir Next"/>
          <w:sz w:val="20"/>
          <w:szCs w:val="20"/>
        </w:rPr>
        <w:t xml:space="preserve">Determine which safeguard elements will be subject to qualitative review, which will depend on their level of development. </w:t>
      </w:r>
    </w:p>
    <w:p w14:paraId="669B67F1" w14:textId="51FB9AE3" w:rsidR="00FA49D6" w:rsidRPr="00FA49D6" w:rsidRDefault="00FA49D6" w:rsidP="00FA49D6">
      <w:pPr>
        <w:pStyle w:val="ListParagraph"/>
        <w:numPr>
          <w:ilvl w:val="0"/>
          <w:numId w:val="18"/>
        </w:numPr>
        <w:rPr>
          <w:rFonts w:ascii="Avenir Next" w:hAnsi="Avenir Next"/>
          <w:sz w:val="20"/>
          <w:szCs w:val="20"/>
        </w:rPr>
      </w:pPr>
      <w:r>
        <w:rPr>
          <w:rFonts w:ascii="Avenir Next" w:hAnsi="Avenir Next"/>
          <w:sz w:val="20"/>
          <w:szCs w:val="20"/>
        </w:rPr>
        <w:t>I</w:t>
      </w:r>
      <w:r w:rsidRPr="00FA49D6">
        <w:rPr>
          <w:rFonts w:ascii="Avenir Next" w:hAnsi="Avenir Next"/>
          <w:sz w:val="20"/>
          <w:szCs w:val="20"/>
        </w:rPr>
        <w:t xml:space="preserve">dentify if any safeguard elements are missing, which will be covered directly in the J-REDD+ roadmaps (Tool 8). </w:t>
      </w:r>
    </w:p>
    <w:p w14:paraId="72EF7D10" w14:textId="77777777" w:rsidR="00FA49D6" w:rsidRPr="00FA49D6" w:rsidRDefault="00FA49D6" w:rsidP="00FA49D6">
      <w:pPr>
        <w:pStyle w:val="ListParagraph"/>
        <w:rPr>
          <w:rFonts w:ascii="Avenir Next" w:hAnsi="Avenir Next"/>
          <w:sz w:val="20"/>
          <w:szCs w:val="20"/>
        </w:rPr>
      </w:pPr>
    </w:p>
    <w:p w14:paraId="689DB9F5" w14:textId="77777777" w:rsidR="00FA49D6" w:rsidRPr="00FA49D6" w:rsidRDefault="00FA49D6" w:rsidP="00FA49D6">
      <w:pPr>
        <w:rPr>
          <w:rFonts w:ascii="Avenir Next" w:hAnsi="Avenir Next"/>
          <w:sz w:val="20"/>
          <w:szCs w:val="20"/>
        </w:rPr>
      </w:pPr>
      <w:r w:rsidRPr="00FA49D6">
        <w:rPr>
          <w:rFonts w:ascii="Avenir Next" w:hAnsi="Avenir Next"/>
          <w:sz w:val="20"/>
          <w:szCs w:val="20"/>
        </w:rPr>
        <w:t xml:space="preserve">To complete this template report, users (with the support of a selected expert international organization) should consider the answers provided in ‘Section A’ above. In completing this template, users will need to consider the scope of each column as follows: </w:t>
      </w:r>
    </w:p>
    <w:p w14:paraId="05F3E278" w14:textId="74EFFEDA" w:rsidR="00FA49D6" w:rsidRPr="00FA49D6" w:rsidRDefault="00FA49D6" w:rsidP="00FA49D6">
      <w:pPr>
        <w:pStyle w:val="ListParagraph"/>
        <w:numPr>
          <w:ilvl w:val="0"/>
          <w:numId w:val="16"/>
        </w:numPr>
        <w:rPr>
          <w:rFonts w:ascii="Avenir Next" w:hAnsi="Avenir Next"/>
          <w:sz w:val="20"/>
          <w:szCs w:val="20"/>
        </w:rPr>
      </w:pPr>
      <w:r w:rsidRPr="00FA49D6">
        <w:rPr>
          <w:rFonts w:ascii="Avenir Next" w:hAnsi="Avenir Next"/>
          <w:sz w:val="20"/>
          <w:szCs w:val="20"/>
          <w:u w:val="single"/>
        </w:rPr>
        <w:t xml:space="preserve">Is the element in </w:t>
      </w:r>
      <w:r w:rsidR="00635BAF" w:rsidRPr="00FA49D6">
        <w:rPr>
          <w:rFonts w:ascii="Avenir Next" w:hAnsi="Avenir Next"/>
          <w:sz w:val="20"/>
          <w:szCs w:val="20"/>
          <w:u w:val="single"/>
        </w:rPr>
        <w:t>place?</w:t>
      </w:r>
      <w:r w:rsidRPr="00FA49D6">
        <w:rPr>
          <w:rFonts w:ascii="Avenir Next" w:hAnsi="Avenir Next"/>
          <w:sz w:val="20"/>
          <w:szCs w:val="20"/>
        </w:rPr>
        <w:t xml:space="preserve"> the users should answer ‘Yes’ or ‘No’ to this question, drawing on the answers provided in ‘Section A’. If any answers provided in ‘Section A’ were ‘Yes’ or ‘Partially’, the answer in this column should be ‘Yes’. If</w:t>
      </w:r>
      <w:r w:rsidRPr="00FA49D6">
        <w:rPr>
          <w:rFonts w:ascii="Avenir Next" w:hAnsi="Avenir Next"/>
          <w:sz w:val="20"/>
          <w:szCs w:val="20"/>
          <w:u w:val="single"/>
        </w:rPr>
        <w:t xml:space="preserve"> all </w:t>
      </w:r>
      <w:r w:rsidRPr="00FA49D6">
        <w:rPr>
          <w:rFonts w:ascii="Avenir Next" w:hAnsi="Avenir Next"/>
          <w:sz w:val="20"/>
          <w:szCs w:val="20"/>
        </w:rPr>
        <w:t>the answers for a particular element were ‘NO’, the answer in this column should be ‘No’.</w:t>
      </w:r>
    </w:p>
    <w:p w14:paraId="7843CFBC" w14:textId="77777777" w:rsidR="00FA49D6" w:rsidRPr="00FA49D6" w:rsidRDefault="00FA49D6" w:rsidP="00FA49D6">
      <w:pPr>
        <w:pStyle w:val="ListParagraph"/>
        <w:numPr>
          <w:ilvl w:val="0"/>
          <w:numId w:val="16"/>
        </w:numPr>
        <w:rPr>
          <w:rFonts w:ascii="Avenir Next" w:hAnsi="Avenir Next"/>
          <w:sz w:val="20"/>
          <w:szCs w:val="20"/>
        </w:rPr>
      </w:pPr>
      <w:r w:rsidRPr="00FA49D6">
        <w:rPr>
          <w:rFonts w:ascii="Avenir Next" w:hAnsi="Avenir Next"/>
          <w:sz w:val="20"/>
          <w:szCs w:val="20"/>
          <w:u w:val="single"/>
        </w:rPr>
        <w:t>Applicable qualitative review</w:t>
      </w:r>
      <w:r w:rsidRPr="00FA49D6">
        <w:rPr>
          <w:rFonts w:ascii="Avenir Next" w:hAnsi="Avenir Next"/>
          <w:sz w:val="20"/>
          <w:szCs w:val="20"/>
        </w:rPr>
        <w:t xml:space="preserve">: for users to confirm the element will undergo a qualitative review and the tool that will be employed for this. If there is an element in place, it will undergo a qualitative review. </w:t>
      </w:r>
    </w:p>
    <w:p w14:paraId="5C855DB3" w14:textId="77777777" w:rsidR="00FA49D6" w:rsidRPr="00FA49D6" w:rsidRDefault="00FA49D6" w:rsidP="00FA49D6">
      <w:pPr>
        <w:pStyle w:val="ListParagraph"/>
        <w:numPr>
          <w:ilvl w:val="0"/>
          <w:numId w:val="16"/>
        </w:numPr>
        <w:rPr>
          <w:rFonts w:ascii="Avenir Next" w:hAnsi="Avenir Next"/>
          <w:sz w:val="20"/>
          <w:szCs w:val="20"/>
        </w:rPr>
      </w:pPr>
      <w:r w:rsidRPr="00FA49D6">
        <w:rPr>
          <w:rFonts w:ascii="Avenir Next" w:hAnsi="Avenir Next"/>
          <w:sz w:val="20"/>
          <w:szCs w:val="20"/>
          <w:u w:val="single"/>
        </w:rPr>
        <w:t>Next steps for qualitative review:</w:t>
      </w:r>
      <w:r w:rsidRPr="00FA49D6">
        <w:rPr>
          <w:rFonts w:ascii="Avenir Next" w:hAnsi="Avenir Next"/>
          <w:sz w:val="20"/>
          <w:szCs w:val="20"/>
        </w:rPr>
        <w:t xml:space="preserve"> for users to identify any immediate next steps that are relevant for conducting the qualitative review, including the key personnel that needs to be involved (e.g. legal expert).</w:t>
      </w:r>
    </w:p>
    <w:p w14:paraId="0368865B" w14:textId="219810CD" w:rsidR="00FA49D6" w:rsidRDefault="00FA49D6" w:rsidP="00FA49D6">
      <w:pPr>
        <w:pStyle w:val="ListParagraph"/>
        <w:numPr>
          <w:ilvl w:val="0"/>
          <w:numId w:val="16"/>
        </w:numPr>
        <w:rPr>
          <w:rFonts w:ascii="Avenir Next" w:hAnsi="Avenir Next"/>
          <w:sz w:val="20"/>
          <w:szCs w:val="20"/>
        </w:rPr>
      </w:pPr>
      <w:r w:rsidRPr="00FA49D6">
        <w:rPr>
          <w:rFonts w:ascii="Avenir Next" w:hAnsi="Avenir Next"/>
          <w:sz w:val="20"/>
          <w:szCs w:val="20"/>
          <w:u w:val="single"/>
        </w:rPr>
        <w:t>Next steps for cases where an element is NOT in place:</w:t>
      </w:r>
      <w:r w:rsidRPr="00FA49D6">
        <w:rPr>
          <w:rFonts w:ascii="Avenir Next" w:hAnsi="Avenir Next"/>
          <w:sz w:val="20"/>
          <w:szCs w:val="20"/>
        </w:rPr>
        <w:t xml:space="preserve">  for users to clearly note which elements are NOT in </w:t>
      </w:r>
      <w:r w:rsidR="001C439B" w:rsidRPr="00FA49D6">
        <w:rPr>
          <w:rFonts w:ascii="Avenir Next" w:hAnsi="Avenir Next"/>
          <w:sz w:val="20"/>
          <w:szCs w:val="20"/>
        </w:rPr>
        <w:t>place and</w:t>
      </w:r>
      <w:r w:rsidRPr="00FA49D6">
        <w:rPr>
          <w:rFonts w:ascii="Avenir Next" w:hAnsi="Avenir Next"/>
          <w:sz w:val="20"/>
          <w:szCs w:val="20"/>
        </w:rPr>
        <w:t xml:space="preserve"> will need to be considered in the J-REDD+ roadmaps (Tool 8).</w:t>
      </w:r>
    </w:p>
    <w:p w14:paraId="66D682DD" w14:textId="77777777" w:rsidR="00FA49D6" w:rsidRPr="00FA49D6" w:rsidRDefault="00FA49D6" w:rsidP="00FA49D6">
      <w:pPr>
        <w:ind w:left="360"/>
        <w:rPr>
          <w:rFonts w:ascii="Avenir Next" w:hAnsi="Avenir Next"/>
          <w:sz w:val="20"/>
          <w:szCs w:val="20"/>
        </w:rPr>
      </w:pPr>
    </w:p>
    <w:tbl>
      <w:tblPr>
        <w:tblStyle w:val="GridTable1Light"/>
        <w:tblW w:w="4826" w:type="pct"/>
        <w:tblBorders>
          <w:top w:val="single" w:sz="6" w:space="0" w:color="0E361A"/>
          <w:left w:val="single" w:sz="6" w:space="0" w:color="0E361A"/>
          <w:bottom w:val="single" w:sz="6" w:space="0" w:color="0E361A"/>
          <w:right w:val="single" w:sz="6" w:space="0" w:color="0E361A"/>
          <w:insideH w:val="single" w:sz="6" w:space="0" w:color="0E361A"/>
          <w:insideV w:val="single" w:sz="6" w:space="0" w:color="0E361A"/>
        </w:tblBorders>
        <w:tblLook w:val="04A0" w:firstRow="1" w:lastRow="0" w:firstColumn="1" w:lastColumn="0" w:noHBand="0" w:noVBand="1"/>
      </w:tblPr>
      <w:tblGrid>
        <w:gridCol w:w="2243"/>
        <w:gridCol w:w="1300"/>
        <w:gridCol w:w="1426"/>
        <w:gridCol w:w="8719"/>
      </w:tblGrid>
      <w:tr w:rsidR="00FA49D6" w:rsidRPr="002C59A7" w14:paraId="7F6D4B5F" w14:textId="77777777" w:rsidTr="00797EF2">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19" w:type="pct"/>
            <w:shd w:val="clear" w:color="auto" w:fill="0E361A"/>
            <w:vAlign w:val="center"/>
          </w:tcPr>
          <w:p w14:paraId="066D0CEF" w14:textId="7BC26D46" w:rsidR="00FA49D6" w:rsidRPr="00FA49D6" w:rsidRDefault="00FA49D6" w:rsidP="00797EF2">
            <w:pPr>
              <w:spacing w:before="40" w:after="40"/>
              <w:rPr>
                <w:rFonts w:ascii="Bodoni 72 Book" w:hAnsi="Bodoni 72 Book" w:cs="Arial"/>
                <w:b w:val="0"/>
                <w:color w:val="FF0000"/>
                <w:sz w:val="22"/>
                <w:szCs w:val="22"/>
              </w:rPr>
            </w:pPr>
            <w:r w:rsidRPr="00FA49D6">
              <w:rPr>
                <w:rFonts w:ascii="Bodoni 72 Book" w:hAnsi="Bodoni 72 Book" w:cs="Arial"/>
                <w:b w:val="0"/>
                <w:sz w:val="22"/>
                <w:szCs w:val="22"/>
              </w:rPr>
              <w:t>Safeguard Element</w:t>
            </w:r>
          </w:p>
        </w:tc>
        <w:tc>
          <w:tcPr>
            <w:tcW w:w="475" w:type="pct"/>
            <w:shd w:val="clear" w:color="auto" w:fill="0E361A"/>
            <w:vAlign w:val="center"/>
          </w:tcPr>
          <w:p w14:paraId="2095D9C9" w14:textId="77777777" w:rsidR="00FA49D6" w:rsidRPr="00FA49D6" w:rsidRDefault="00FA49D6" w:rsidP="00797EF2">
            <w:pPr>
              <w:spacing w:before="40" w:after="40"/>
              <w:cnfStyle w:val="100000000000" w:firstRow="1" w:lastRow="0" w:firstColumn="0" w:lastColumn="0" w:oddVBand="0" w:evenVBand="0" w:oddHBand="0" w:evenHBand="0" w:firstRowFirstColumn="0" w:firstRowLastColumn="0" w:lastRowFirstColumn="0" w:lastRowLastColumn="0"/>
              <w:rPr>
                <w:rFonts w:ascii="Bodoni 72 Book" w:hAnsi="Bodoni 72 Book" w:cs="Arial"/>
                <w:b w:val="0"/>
                <w:sz w:val="22"/>
                <w:szCs w:val="22"/>
              </w:rPr>
            </w:pPr>
            <w:r w:rsidRPr="00FA49D6">
              <w:rPr>
                <w:rFonts w:ascii="Bodoni 72 Book" w:hAnsi="Bodoni 72 Book" w:cs="Arial"/>
                <w:b w:val="0"/>
                <w:sz w:val="22"/>
                <w:szCs w:val="22"/>
              </w:rPr>
              <w:t>Is the element in place?</w:t>
            </w:r>
          </w:p>
        </w:tc>
        <w:tc>
          <w:tcPr>
            <w:tcW w:w="521" w:type="pct"/>
            <w:shd w:val="clear" w:color="auto" w:fill="0E361A"/>
            <w:vAlign w:val="center"/>
          </w:tcPr>
          <w:p w14:paraId="2FD0A6E6" w14:textId="77777777" w:rsidR="00FA49D6" w:rsidRPr="00FA49D6" w:rsidRDefault="00FA49D6" w:rsidP="00797EF2">
            <w:pPr>
              <w:spacing w:before="40" w:after="40"/>
              <w:cnfStyle w:val="100000000000" w:firstRow="1" w:lastRow="0" w:firstColumn="0" w:lastColumn="0" w:oddVBand="0" w:evenVBand="0" w:oddHBand="0" w:evenHBand="0" w:firstRowFirstColumn="0" w:firstRowLastColumn="0" w:lastRowFirstColumn="0" w:lastRowLastColumn="0"/>
              <w:rPr>
                <w:rFonts w:ascii="Bodoni 72 Book" w:hAnsi="Bodoni 72 Book" w:cs="Arial"/>
                <w:b w:val="0"/>
                <w:sz w:val="22"/>
                <w:szCs w:val="22"/>
              </w:rPr>
            </w:pPr>
            <w:r w:rsidRPr="00FA49D6">
              <w:rPr>
                <w:rFonts w:ascii="Bodoni 72 Book" w:hAnsi="Bodoni 72 Book" w:cs="Arial"/>
                <w:b w:val="0"/>
                <w:sz w:val="22"/>
                <w:szCs w:val="22"/>
              </w:rPr>
              <w:t>Applicable qualitative review</w:t>
            </w:r>
          </w:p>
        </w:tc>
        <w:tc>
          <w:tcPr>
            <w:tcW w:w="3185" w:type="pct"/>
            <w:shd w:val="clear" w:color="auto" w:fill="0E361A"/>
            <w:vAlign w:val="center"/>
          </w:tcPr>
          <w:p w14:paraId="729F85D7" w14:textId="77777777" w:rsidR="00FA49D6" w:rsidRPr="00FA49D6" w:rsidRDefault="00FA49D6" w:rsidP="00797EF2">
            <w:pPr>
              <w:spacing w:before="40" w:after="40"/>
              <w:cnfStyle w:val="100000000000" w:firstRow="1" w:lastRow="0" w:firstColumn="0" w:lastColumn="0" w:oddVBand="0" w:evenVBand="0" w:oddHBand="0" w:evenHBand="0" w:firstRowFirstColumn="0" w:firstRowLastColumn="0" w:lastRowFirstColumn="0" w:lastRowLastColumn="0"/>
              <w:rPr>
                <w:rFonts w:ascii="Bodoni 72 Book" w:hAnsi="Bodoni 72 Book" w:cs="Arial"/>
                <w:b w:val="0"/>
                <w:sz w:val="22"/>
                <w:szCs w:val="22"/>
              </w:rPr>
            </w:pPr>
            <w:r w:rsidRPr="00FA49D6">
              <w:rPr>
                <w:rFonts w:ascii="Bodoni 72 Book" w:hAnsi="Bodoni 72 Book" w:cs="Arial"/>
                <w:b w:val="0"/>
                <w:sz w:val="22"/>
                <w:szCs w:val="22"/>
              </w:rPr>
              <w:t>Next steps for qualitative review:</w:t>
            </w:r>
          </w:p>
          <w:p w14:paraId="6CDE8376" w14:textId="77777777" w:rsidR="00FA49D6" w:rsidRPr="00FA49D6" w:rsidRDefault="00FA49D6" w:rsidP="00797EF2">
            <w:pPr>
              <w:spacing w:before="40" w:after="40"/>
              <w:cnfStyle w:val="100000000000" w:firstRow="1" w:lastRow="0" w:firstColumn="0" w:lastColumn="0" w:oddVBand="0" w:evenVBand="0" w:oddHBand="0" w:evenHBand="0" w:firstRowFirstColumn="0" w:firstRowLastColumn="0" w:lastRowFirstColumn="0" w:lastRowLastColumn="0"/>
              <w:rPr>
                <w:rFonts w:ascii="Avenir Next" w:hAnsi="Avenir Next" w:cs="Arial"/>
                <w:b w:val="0"/>
                <w:i/>
                <w:iCs/>
                <w:sz w:val="18"/>
                <w:szCs w:val="18"/>
              </w:rPr>
            </w:pPr>
            <w:r w:rsidRPr="00FA49D6">
              <w:rPr>
                <w:rFonts w:ascii="Avenir Next" w:hAnsi="Avenir Next" w:cs="Arial"/>
                <w:b w:val="0"/>
                <w:i/>
                <w:iCs/>
                <w:sz w:val="18"/>
                <w:szCs w:val="18"/>
              </w:rPr>
              <w:t>Personnel required (please confirm/identify)</w:t>
            </w:r>
          </w:p>
          <w:p w14:paraId="2F663789" w14:textId="77777777" w:rsidR="00FA49D6" w:rsidRPr="00FA49D6" w:rsidRDefault="00FA49D6" w:rsidP="00797EF2">
            <w:pPr>
              <w:spacing w:before="40" w:after="40"/>
              <w:ind w:left="360"/>
              <w:cnfStyle w:val="100000000000" w:firstRow="1" w:lastRow="0" w:firstColumn="0" w:lastColumn="0" w:oddVBand="0" w:evenVBand="0" w:oddHBand="0" w:evenHBand="0" w:firstRowFirstColumn="0" w:firstRowLastColumn="0" w:lastRowFirstColumn="0" w:lastRowLastColumn="0"/>
              <w:rPr>
                <w:rFonts w:ascii="Bodoni 72 Book" w:hAnsi="Bodoni 72 Book" w:cs="Arial"/>
                <w:b w:val="0"/>
                <w:sz w:val="22"/>
                <w:szCs w:val="22"/>
              </w:rPr>
            </w:pPr>
          </w:p>
        </w:tc>
      </w:tr>
      <w:tr w:rsidR="00FA49D6" w:rsidRPr="00A51626" w14:paraId="72E68F44" w14:textId="77777777" w:rsidTr="00FA49D6">
        <w:trPr>
          <w:trHeight w:val="937"/>
        </w:trPr>
        <w:tc>
          <w:tcPr>
            <w:cnfStyle w:val="001000000000" w:firstRow="0" w:lastRow="0" w:firstColumn="1" w:lastColumn="0" w:oddVBand="0" w:evenVBand="0" w:oddHBand="0" w:evenHBand="0" w:firstRowFirstColumn="0" w:firstRowLastColumn="0" w:lastRowFirstColumn="0" w:lastRowLastColumn="0"/>
            <w:tcW w:w="819" w:type="pct"/>
            <w:shd w:val="clear" w:color="auto" w:fill="68807A"/>
            <w:vAlign w:val="center"/>
          </w:tcPr>
          <w:p w14:paraId="1EF17C17" w14:textId="77777777" w:rsidR="00FA49D6" w:rsidRPr="00FA49D6" w:rsidRDefault="00FA49D6" w:rsidP="00FA49D6">
            <w:pPr>
              <w:spacing w:before="40" w:after="40"/>
              <w:rPr>
                <w:rFonts w:ascii="Avenir Next Ultra Light" w:hAnsi="Avenir Next Ultra Light" w:cs="Arial"/>
                <w:sz w:val="20"/>
                <w:szCs w:val="20"/>
              </w:rPr>
            </w:pPr>
            <w:r w:rsidRPr="00FA49D6">
              <w:rPr>
                <w:rFonts w:ascii="Avenir Next Ultra Light" w:hAnsi="Avenir Next Ultra Light" w:cs="Calibri"/>
                <w:color w:val="000000" w:themeColor="text1"/>
                <w:sz w:val="20"/>
                <w:szCs w:val="20"/>
              </w:rPr>
              <w:t>The Safeguard Information System</w:t>
            </w:r>
          </w:p>
        </w:tc>
        <w:tc>
          <w:tcPr>
            <w:tcW w:w="475" w:type="pct"/>
          </w:tcPr>
          <w:p w14:paraId="31324C82" w14:textId="4E6ECE9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p>
          <w:p w14:paraId="71ADDC02" w14:textId="6176C81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35DE2F30" w14:textId="77777777" w:rsidR="00FA49D6" w:rsidRPr="00A51626" w:rsidRDefault="00FA49D6" w:rsidP="00CE0AF6">
            <w:pPr>
              <w:cnfStyle w:val="000000000000" w:firstRow="0" w:lastRow="0" w:firstColumn="0" w:lastColumn="0" w:oddVBand="0" w:evenVBand="0" w:oddHBand="0" w:evenHBand="0" w:firstRowFirstColumn="0" w:firstRowLastColumn="0" w:lastRowFirstColumn="0" w:lastRowLastColumn="0"/>
            </w:pPr>
          </w:p>
        </w:tc>
        <w:tc>
          <w:tcPr>
            <w:tcW w:w="521" w:type="pct"/>
          </w:tcPr>
          <w:p w14:paraId="27C52506" w14:textId="07207C9A"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r>
              <w:rPr>
                <w:rFonts w:cs="Arial"/>
                <w:sz w:val="21"/>
                <w:szCs w:val="21"/>
              </w:rPr>
              <w:t>– See Tool 2</w:t>
            </w:r>
          </w:p>
          <w:p w14:paraId="512A0FD3" w14:textId="299D70A6"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55ADF7C7"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3185" w:type="pct"/>
          </w:tcPr>
          <w:p w14:paraId="0E077D3D" w14:textId="77777777"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rPr>
                <w:rFonts w:cs="Arial"/>
                <w:b/>
                <w:bCs/>
                <w:sz w:val="21"/>
                <w:szCs w:val="21"/>
              </w:rPr>
            </w:pPr>
            <w:r w:rsidRPr="00202927">
              <w:rPr>
                <w:rFonts w:cs="Arial"/>
                <w:b/>
                <w:bCs/>
                <w:sz w:val="21"/>
                <w:szCs w:val="21"/>
              </w:rPr>
              <w:t xml:space="preserve">Personnel </w:t>
            </w:r>
            <w:r>
              <w:rPr>
                <w:rFonts w:cs="Arial"/>
                <w:b/>
                <w:bCs/>
                <w:sz w:val="21"/>
                <w:szCs w:val="21"/>
              </w:rPr>
              <w:t>to be involved</w:t>
            </w:r>
            <w:r w:rsidRPr="00202927">
              <w:rPr>
                <w:rFonts w:cs="Arial"/>
                <w:b/>
                <w:bCs/>
                <w:sz w:val="21"/>
                <w:szCs w:val="21"/>
              </w:rPr>
              <w:t xml:space="preserve"> </w:t>
            </w:r>
          </w:p>
          <w:p w14:paraId="505C4EDF" w14:textId="63A6D9DE"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cs="Arial" w:hint="eastAsia"/>
                <w:sz w:val="21"/>
                <w:szCs w:val="21"/>
              </w:rPr>
              <w:t>☐</w:t>
            </w:r>
            <w:r w:rsidRPr="00A51626">
              <w:rPr>
                <w:rFonts w:cs="Arial"/>
                <w:sz w:val="21"/>
                <w:szCs w:val="21"/>
              </w:rPr>
              <w:t xml:space="preserve"> </w:t>
            </w:r>
            <w:r>
              <w:t>J-REDD+ program’s assigned personnel</w:t>
            </w:r>
          </w:p>
          <w:p w14:paraId="004AA652" w14:textId="0A009B32"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pPr>
            <w:r w:rsidRPr="00A51626">
              <w:rPr>
                <w:rFonts w:ascii="Segoe UI Symbol" w:eastAsia="MS Gothic" w:hAnsi="Segoe UI Symbol" w:cs="Segoe UI Symbol"/>
                <w:sz w:val="21"/>
                <w:szCs w:val="21"/>
              </w:rPr>
              <w:t>☐</w:t>
            </w:r>
            <w:r w:rsidRPr="00A51626">
              <w:rPr>
                <w:rFonts w:cs="Arial"/>
                <w:sz w:val="21"/>
                <w:szCs w:val="21"/>
              </w:rPr>
              <w:t xml:space="preserve"> </w:t>
            </w:r>
            <w:r>
              <w:t>National legal expert</w:t>
            </w:r>
          </w:p>
          <w:p w14:paraId="4ADB3B14" w14:textId="5D0EF5C6"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Pr>
                <w:rFonts w:ascii="MS Gothic" w:eastAsia="MS Gothic" w:hAnsi="MS Gothic" w:cs="Arial" w:hint="eastAsia"/>
                <w:sz w:val="21"/>
                <w:szCs w:val="21"/>
              </w:rPr>
              <w:t>☐</w:t>
            </w:r>
            <w:r>
              <w:rPr>
                <w:rFonts w:cs="Arial"/>
                <w:sz w:val="21"/>
                <w:szCs w:val="21"/>
              </w:rPr>
              <w:t xml:space="preserve"> Other national experts/</w:t>
            </w:r>
            <w:r w:rsidR="00635BAF">
              <w:rPr>
                <w:rFonts w:cs="Arial"/>
                <w:sz w:val="21"/>
                <w:szCs w:val="21"/>
              </w:rPr>
              <w:t>organizations: _</w:t>
            </w:r>
            <w:r>
              <w:rPr>
                <w:rFonts w:cs="Arial"/>
                <w:sz w:val="21"/>
                <w:szCs w:val="21"/>
              </w:rPr>
              <w:t>_________________</w:t>
            </w:r>
          </w:p>
          <w:p w14:paraId="57765D4F"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00FA49D6" w:rsidRPr="00A51626" w14:paraId="18E1A86E" w14:textId="77777777" w:rsidTr="00FA49D6">
        <w:trPr>
          <w:trHeight w:val="567"/>
        </w:trPr>
        <w:tc>
          <w:tcPr>
            <w:cnfStyle w:val="001000000000" w:firstRow="0" w:lastRow="0" w:firstColumn="1" w:lastColumn="0" w:oddVBand="0" w:evenVBand="0" w:oddHBand="0" w:evenHBand="0" w:firstRowFirstColumn="0" w:firstRowLastColumn="0" w:lastRowFirstColumn="0" w:lastRowLastColumn="0"/>
            <w:tcW w:w="819" w:type="pct"/>
            <w:shd w:val="clear" w:color="auto" w:fill="68807A"/>
            <w:vAlign w:val="center"/>
          </w:tcPr>
          <w:p w14:paraId="12130F4E" w14:textId="77777777" w:rsidR="00FA49D6" w:rsidRPr="00FA49D6" w:rsidRDefault="00FA49D6" w:rsidP="00FA49D6">
            <w:pPr>
              <w:spacing w:before="40" w:after="40"/>
              <w:rPr>
                <w:rFonts w:ascii="Avenir Next Ultra Light" w:hAnsi="Avenir Next Ultra Light" w:cs="Arial"/>
                <w:sz w:val="20"/>
                <w:szCs w:val="20"/>
              </w:rPr>
            </w:pPr>
            <w:r w:rsidRPr="00FA49D6">
              <w:rPr>
                <w:rFonts w:ascii="Avenir Next Ultra Light" w:hAnsi="Avenir Next Ultra Light" w:cs="Calibri"/>
                <w:color w:val="000000" w:themeColor="text1"/>
                <w:sz w:val="20"/>
                <w:szCs w:val="20"/>
              </w:rPr>
              <w:lastRenderedPageBreak/>
              <w:t xml:space="preserve">The J-REDD+ </w:t>
            </w:r>
            <w:r w:rsidRPr="00FA49D6">
              <w:rPr>
                <w:rFonts w:ascii="Avenir Next Ultra Light" w:hAnsi="Avenir Next Ultra Light"/>
                <w:sz w:val="20"/>
                <w:szCs w:val="20"/>
              </w:rPr>
              <w:t>Program’s governance arrangements that guarantee the application of the UNFCCC REDD+ safeguards</w:t>
            </w:r>
          </w:p>
        </w:tc>
        <w:tc>
          <w:tcPr>
            <w:tcW w:w="475" w:type="pct"/>
          </w:tcPr>
          <w:p w14:paraId="003ED086" w14:textId="56B2C6E8"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p>
          <w:p w14:paraId="04D2461A" w14:textId="5A109A48"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11D80760" w14:textId="77777777" w:rsidR="00FA49D6" w:rsidRPr="00A51626" w:rsidRDefault="00FA49D6" w:rsidP="00CE0AF6">
            <w:pPr>
              <w:cnfStyle w:val="000000000000" w:firstRow="0" w:lastRow="0" w:firstColumn="0" w:lastColumn="0" w:oddVBand="0" w:evenVBand="0" w:oddHBand="0" w:evenHBand="0" w:firstRowFirstColumn="0" w:firstRowLastColumn="0" w:lastRowFirstColumn="0" w:lastRowLastColumn="0"/>
              <w:rPr>
                <w:rFonts w:cs="Arial"/>
                <w:b/>
                <w:color w:val="FF0000"/>
                <w:sz w:val="21"/>
                <w:szCs w:val="21"/>
              </w:rPr>
            </w:pPr>
          </w:p>
        </w:tc>
        <w:tc>
          <w:tcPr>
            <w:tcW w:w="521" w:type="pct"/>
          </w:tcPr>
          <w:p w14:paraId="279FAB01" w14:textId="2D05D99A"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r>
              <w:rPr>
                <w:rFonts w:cs="Arial"/>
                <w:sz w:val="21"/>
                <w:szCs w:val="21"/>
              </w:rPr>
              <w:t>– See Tool 3</w:t>
            </w:r>
          </w:p>
          <w:p w14:paraId="337010B4" w14:textId="3F18088A"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6D3DA896"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3185" w:type="pct"/>
          </w:tcPr>
          <w:p w14:paraId="717966DB" w14:textId="77777777"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rPr>
                <w:rFonts w:cs="Arial"/>
                <w:b/>
                <w:bCs/>
                <w:sz w:val="21"/>
                <w:szCs w:val="21"/>
              </w:rPr>
            </w:pPr>
            <w:r w:rsidRPr="00202927">
              <w:rPr>
                <w:rFonts w:cs="Arial"/>
                <w:b/>
                <w:bCs/>
                <w:sz w:val="21"/>
                <w:szCs w:val="21"/>
              </w:rPr>
              <w:t xml:space="preserve">Personnel </w:t>
            </w:r>
            <w:r>
              <w:rPr>
                <w:rFonts w:cs="Arial"/>
                <w:b/>
                <w:bCs/>
                <w:sz w:val="21"/>
                <w:szCs w:val="21"/>
              </w:rPr>
              <w:t>to be involved</w:t>
            </w:r>
            <w:r w:rsidRPr="00202927">
              <w:rPr>
                <w:rFonts w:cs="Arial"/>
                <w:b/>
                <w:bCs/>
                <w:sz w:val="21"/>
                <w:szCs w:val="21"/>
              </w:rPr>
              <w:t xml:space="preserve"> </w:t>
            </w:r>
          </w:p>
          <w:p w14:paraId="596BD86B" w14:textId="12C6FDB3"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cs="Arial" w:hint="eastAsia"/>
                <w:sz w:val="21"/>
                <w:szCs w:val="21"/>
              </w:rPr>
              <w:t>☐</w:t>
            </w:r>
            <w:r w:rsidRPr="00A51626">
              <w:rPr>
                <w:rFonts w:cs="Arial"/>
                <w:sz w:val="21"/>
                <w:szCs w:val="21"/>
              </w:rPr>
              <w:t xml:space="preserve"> </w:t>
            </w:r>
            <w:r>
              <w:t>J-REDD+ program’s assigned personnel</w:t>
            </w:r>
          </w:p>
          <w:p w14:paraId="195A5A43" w14:textId="39177845"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pPr>
            <w:r w:rsidRPr="00A51626">
              <w:rPr>
                <w:rFonts w:ascii="Segoe UI Symbol" w:eastAsia="MS Gothic" w:hAnsi="Segoe UI Symbol" w:cs="Segoe UI Symbol"/>
                <w:sz w:val="21"/>
                <w:szCs w:val="21"/>
              </w:rPr>
              <w:t>☐</w:t>
            </w:r>
            <w:r w:rsidRPr="00A51626">
              <w:rPr>
                <w:rFonts w:cs="Arial"/>
                <w:sz w:val="21"/>
                <w:szCs w:val="21"/>
              </w:rPr>
              <w:t xml:space="preserve"> </w:t>
            </w:r>
            <w:r>
              <w:t>National legal expert</w:t>
            </w:r>
          </w:p>
          <w:p w14:paraId="3A458A91" w14:textId="58EDACD0"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Pr>
                <w:rFonts w:ascii="MS Gothic" w:eastAsia="MS Gothic" w:hAnsi="MS Gothic" w:cs="Arial" w:hint="eastAsia"/>
                <w:sz w:val="21"/>
                <w:szCs w:val="21"/>
              </w:rPr>
              <w:t>☐</w:t>
            </w:r>
            <w:r>
              <w:rPr>
                <w:rFonts w:cs="Arial"/>
                <w:sz w:val="21"/>
                <w:szCs w:val="21"/>
              </w:rPr>
              <w:t xml:space="preserve"> Other national experts/</w:t>
            </w:r>
            <w:r w:rsidR="00635BAF">
              <w:rPr>
                <w:rFonts w:cs="Arial"/>
                <w:sz w:val="21"/>
                <w:szCs w:val="21"/>
              </w:rPr>
              <w:t>organizations: _</w:t>
            </w:r>
            <w:r>
              <w:rPr>
                <w:rFonts w:cs="Arial"/>
                <w:sz w:val="21"/>
                <w:szCs w:val="21"/>
              </w:rPr>
              <w:t>_________________</w:t>
            </w:r>
          </w:p>
        </w:tc>
      </w:tr>
      <w:tr w:rsidR="00FA49D6" w:rsidRPr="00A51626" w14:paraId="3F6D5930" w14:textId="77777777" w:rsidTr="00FA49D6">
        <w:trPr>
          <w:trHeight w:val="341"/>
        </w:trPr>
        <w:tc>
          <w:tcPr>
            <w:cnfStyle w:val="001000000000" w:firstRow="0" w:lastRow="0" w:firstColumn="1" w:lastColumn="0" w:oddVBand="0" w:evenVBand="0" w:oddHBand="0" w:evenHBand="0" w:firstRowFirstColumn="0" w:firstRowLastColumn="0" w:lastRowFirstColumn="0" w:lastRowLastColumn="0"/>
            <w:tcW w:w="819" w:type="pct"/>
            <w:shd w:val="clear" w:color="auto" w:fill="68807A"/>
            <w:vAlign w:val="center"/>
          </w:tcPr>
          <w:p w14:paraId="24074FF1" w14:textId="77777777" w:rsidR="00FA49D6" w:rsidRPr="00FA49D6" w:rsidRDefault="00FA49D6" w:rsidP="00FA49D6">
            <w:pPr>
              <w:spacing w:before="40" w:after="40"/>
              <w:rPr>
                <w:rFonts w:ascii="Avenir Next Ultra Light" w:hAnsi="Avenir Next Ultra Light" w:cs="Arial"/>
                <w:sz w:val="20"/>
                <w:szCs w:val="20"/>
              </w:rPr>
            </w:pPr>
            <w:r w:rsidRPr="00FA49D6">
              <w:rPr>
                <w:rFonts w:ascii="Avenir Next Ultra Light" w:hAnsi="Avenir Next Ultra Light" w:cs="Calibri"/>
                <w:color w:val="000000" w:themeColor="text1"/>
                <w:sz w:val="20"/>
                <w:szCs w:val="20"/>
              </w:rPr>
              <w:t>The revenue distribution plan</w:t>
            </w:r>
          </w:p>
        </w:tc>
        <w:tc>
          <w:tcPr>
            <w:tcW w:w="475" w:type="pct"/>
          </w:tcPr>
          <w:p w14:paraId="47928B12" w14:textId="00DC197E"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p>
          <w:p w14:paraId="5BEE060F" w14:textId="1232B355"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556B4317" w14:textId="77777777" w:rsidR="00FA49D6" w:rsidRPr="00A51626" w:rsidRDefault="00FA49D6" w:rsidP="00CE0AF6">
            <w:pPr>
              <w:cnfStyle w:val="000000000000" w:firstRow="0" w:lastRow="0" w:firstColumn="0" w:lastColumn="0" w:oddVBand="0" w:evenVBand="0" w:oddHBand="0" w:evenHBand="0" w:firstRowFirstColumn="0" w:firstRowLastColumn="0" w:lastRowFirstColumn="0" w:lastRowLastColumn="0"/>
              <w:rPr>
                <w:rFonts w:cs="Arial"/>
                <w:b/>
                <w:color w:val="FF0000"/>
                <w:sz w:val="21"/>
                <w:szCs w:val="21"/>
              </w:rPr>
            </w:pPr>
          </w:p>
        </w:tc>
        <w:tc>
          <w:tcPr>
            <w:tcW w:w="521" w:type="pct"/>
          </w:tcPr>
          <w:p w14:paraId="0EF9BACD" w14:textId="0EE4CEDC"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r>
              <w:rPr>
                <w:rFonts w:cs="Arial"/>
                <w:sz w:val="21"/>
                <w:szCs w:val="21"/>
              </w:rPr>
              <w:t>– See Tool 4</w:t>
            </w:r>
          </w:p>
          <w:p w14:paraId="1D7FFE1A" w14:textId="478003ED"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5243E4B1"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3185" w:type="pct"/>
          </w:tcPr>
          <w:p w14:paraId="11A92B74" w14:textId="77777777"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rPr>
                <w:rFonts w:cs="Arial"/>
                <w:b/>
                <w:bCs/>
                <w:sz w:val="21"/>
                <w:szCs w:val="21"/>
              </w:rPr>
            </w:pPr>
            <w:r w:rsidRPr="00202927">
              <w:rPr>
                <w:rFonts w:cs="Arial"/>
                <w:b/>
                <w:bCs/>
                <w:sz w:val="21"/>
                <w:szCs w:val="21"/>
              </w:rPr>
              <w:t xml:space="preserve">Personnel </w:t>
            </w:r>
            <w:r>
              <w:rPr>
                <w:rFonts w:cs="Arial"/>
                <w:b/>
                <w:bCs/>
                <w:sz w:val="21"/>
                <w:szCs w:val="21"/>
              </w:rPr>
              <w:t>to be involved</w:t>
            </w:r>
            <w:r w:rsidRPr="00202927">
              <w:rPr>
                <w:rFonts w:cs="Arial"/>
                <w:b/>
                <w:bCs/>
                <w:sz w:val="21"/>
                <w:szCs w:val="21"/>
              </w:rPr>
              <w:t xml:space="preserve"> </w:t>
            </w:r>
          </w:p>
          <w:p w14:paraId="21F4A9C1" w14:textId="5C9C1AE2"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cs="Arial" w:hint="eastAsia"/>
                <w:sz w:val="21"/>
                <w:szCs w:val="21"/>
              </w:rPr>
              <w:t>☐</w:t>
            </w:r>
            <w:r w:rsidRPr="00A51626">
              <w:rPr>
                <w:rFonts w:cs="Arial"/>
                <w:sz w:val="21"/>
                <w:szCs w:val="21"/>
              </w:rPr>
              <w:t xml:space="preserve"> </w:t>
            </w:r>
            <w:r>
              <w:t>J-REDD+ program’s assigned personnel</w:t>
            </w:r>
          </w:p>
          <w:p w14:paraId="422115D3" w14:textId="6AB63DBA"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pPr>
            <w:r w:rsidRPr="00A51626">
              <w:rPr>
                <w:rFonts w:ascii="Segoe UI Symbol" w:eastAsia="MS Gothic" w:hAnsi="Segoe UI Symbol" w:cs="Segoe UI Symbol"/>
                <w:sz w:val="21"/>
                <w:szCs w:val="21"/>
              </w:rPr>
              <w:t>☐</w:t>
            </w:r>
            <w:r w:rsidRPr="00A51626">
              <w:rPr>
                <w:rFonts w:cs="Arial"/>
                <w:sz w:val="21"/>
                <w:szCs w:val="21"/>
              </w:rPr>
              <w:t xml:space="preserve"> </w:t>
            </w:r>
            <w:r>
              <w:t>National legal expert</w:t>
            </w:r>
          </w:p>
          <w:p w14:paraId="0A4F08C9" w14:textId="2DCE3409"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Pr>
                <w:rFonts w:ascii="MS Gothic" w:eastAsia="MS Gothic" w:hAnsi="MS Gothic" w:cs="Arial" w:hint="eastAsia"/>
                <w:sz w:val="21"/>
                <w:szCs w:val="21"/>
              </w:rPr>
              <w:t>☐</w:t>
            </w:r>
            <w:r>
              <w:rPr>
                <w:rFonts w:cs="Arial"/>
                <w:sz w:val="21"/>
                <w:szCs w:val="21"/>
              </w:rPr>
              <w:t xml:space="preserve"> Other national experts/</w:t>
            </w:r>
            <w:r w:rsidR="00635BAF">
              <w:rPr>
                <w:rFonts w:cs="Arial"/>
                <w:sz w:val="21"/>
                <w:szCs w:val="21"/>
              </w:rPr>
              <w:t>organizations: _</w:t>
            </w:r>
            <w:r>
              <w:rPr>
                <w:rFonts w:cs="Arial"/>
                <w:sz w:val="21"/>
                <w:szCs w:val="21"/>
              </w:rPr>
              <w:t>_________________</w:t>
            </w:r>
          </w:p>
          <w:p w14:paraId="1510C54A"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00FA49D6" w:rsidRPr="00A51626" w14:paraId="72A8F695" w14:textId="77777777" w:rsidTr="00FA49D6">
        <w:trPr>
          <w:trHeight w:val="567"/>
        </w:trPr>
        <w:tc>
          <w:tcPr>
            <w:cnfStyle w:val="001000000000" w:firstRow="0" w:lastRow="0" w:firstColumn="1" w:lastColumn="0" w:oddVBand="0" w:evenVBand="0" w:oddHBand="0" w:evenHBand="0" w:firstRowFirstColumn="0" w:firstRowLastColumn="0" w:lastRowFirstColumn="0" w:lastRowLastColumn="0"/>
            <w:tcW w:w="819" w:type="pct"/>
            <w:shd w:val="clear" w:color="auto" w:fill="68807A"/>
            <w:vAlign w:val="center"/>
          </w:tcPr>
          <w:p w14:paraId="61034DD8" w14:textId="77777777" w:rsidR="00FA49D6" w:rsidRPr="00FA49D6" w:rsidRDefault="00FA49D6" w:rsidP="00FA49D6">
            <w:pPr>
              <w:spacing w:before="40" w:after="40"/>
              <w:rPr>
                <w:rFonts w:ascii="Avenir Next Ultra Light" w:hAnsi="Avenir Next Ultra Light" w:cs="Arial"/>
                <w:sz w:val="20"/>
                <w:szCs w:val="20"/>
              </w:rPr>
            </w:pPr>
            <w:r w:rsidRPr="00FA49D6">
              <w:rPr>
                <w:rFonts w:ascii="Avenir Next Ultra Light" w:hAnsi="Avenir Next Ultra Light" w:cs="Calibri"/>
                <w:color w:val="000000" w:themeColor="text1"/>
                <w:sz w:val="20"/>
                <w:szCs w:val="20"/>
              </w:rPr>
              <w:t>The grievance redress mechanism</w:t>
            </w:r>
            <w:r w:rsidRPr="00FA49D6">
              <w:rPr>
                <w:rFonts w:ascii="Avenir Next Ultra Light" w:hAnsi="Avenir Next Ultra Light" w:cstheme="minorHAnsi"/>
                <w:sz w:val="20"/>
                <w:szCs w:val="20"/>
              </w:rPr>
              <w:t xml:space="preserve"> </w:t>
            </w:r>
          </w:p>
        </w:tc>
        <w:tc>
          <w:tcPr>
            <w:tcW w:w="475" w:type="pct"/>
          </w:tcPr>
          <w:p w14:paraId="56CE3547" w14:textId="6C04CE5F"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p>
          <w:p w14:paraId="3FDECE84" w14:textId="45DB373C"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61A5831B" w14:textId="77777777" w:rsidR="00FA49D6" w:rsidRPr="00A51626" w:rsidRDefault="00FA49D6" w:rsidP="00CE0AF6">
            <w:pPr>
              <w:cnfStyle w:val="000000000000" w:firstRow="0" w:lastRow="0" w:firstColumn="0" w:lastColumn="0" w:oddVBand="0" w:evenVBand="0" w:oddHBand="0" w:evenHBand="0" w:firstRowFirstColumn="0" w:firstRowLastColumn="0" w:lastRowFirstColumn="0" w:lastRowLastColumn="0"/>
              <w:rPr>
                <w:rFonts w:cs="Arial"/>
                <w:b/>
                <w:color w:val="FF0000"/>
                <w:sz w:val="21"/>
                <w:szCs w:val="21"/>
              </w:rPr>
            </w:pPr>
          </w:p>
        </w:tc>
        <w:tc>
          <w:tcPr>
            <w:tcW w:w="521" w:type="pct"/>
          </w:tcPr>
          <w:p w14:paraId="25A384E4" w14:textId="358A43C1"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r>
              <w:rPr>
                <w:rFonts w:cs="Arial"/>
                <w:sz w:val="21"/>
                <w:szCs w:val="21"/>
              </w:rPr>
              <w:t>– See Tool 5</w:t>
            </w:r>
          </w:p>
          <w:p w14:paraId="0D2DEFC1" w14:textId="6CC66210"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3653792F"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3185" w:type="pct"/>
          </w:tcPr>
          <w:p w14:paraId="3B5CD126" w14:textId="77777777"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rPr>
                <w:rFonts w:cs="Arial"/>
                <w:b/>
                <w:bCs/>
                <w:sz w:val="21"/>
                <w:szCs w:val="21"/>
              </w:rPr>
            </w:pPr>
            <w:r w:rsidRPr="00202927">
              <w:rPr>
                <w:rFonts w:cs="Arial"/>
                <w:b/>
                <w:bCs/>
                <w:sz w:val="21"/>
                <w:szCs w:val="21"/>
              </w:rPr>
              <w:t xml:space="preserve">Personnel </w:t>
            </w:r>
            <w:r>
              <w:rPr>
                <w:rFonts w:cs="Arial"/>
                <w:b/>
                <w:bCs/>
                <w:sz w:val="21"/>
                <w:szCs w:val="21"/>
              </w:rPr>
              <w:t>to be involved</w:t>
            </w:r>
            <w:r w:rsidRPr="00202927">
              <w:rPr>
                <w:rFonts w:cs="Arial"/>
                <w:b/>
                <w:bCs/>
                <w:sz w:val="21"/>
                <w:szCs w:val="21"/>
              </w:rPr>
              <w:t xml:space="preserve"> </w:t>
            </w:r>
          </w:p>
          <w:p w14:paraId="72D066CF" w14:textId="39421613"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cs="Arial" w:hint="eastAsia"/>
                <w:sz w:val="21"/>
                <w:szCs w:val="21"/>
              </w:rPr>
              <w:t>☐</w:t>
            </w:r>
            <w:r w:rsidRPr="00A51626">
              <w:rPr>
                <w:rFonts w:cs="Arial"/>
                <w:sz w:val="21"/>
                <w:szCs w:val="21"/>
              </w:rPr>
              <w:t xml:space="preserve"> </w:t>
            </w:r>
            <w:r>
              <w:t>J-REDD+ program’s assigned personnel</w:t>
            </w:r>
          </w:p>
          <w:p w14:paraId="40050265" w14:textId="638B045D"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pPr>
            <w:r w:rsidRPr="00A51626">
              <w:rPr>
                <w:rFonts w:ascii="Segoe UI Symbol" w:eastAsia="MS Gothic" w:hAnsi="Segoe UI Symbol" w:cs="Segoe UI Symbol"/>
                <w:sz w:val="21"/>
                <w:szCs w:val="21"/>
              </w:rPr>
              <w:t>☐</w:t>
            </w:r>
            <w:r w:rsidRPr="00A51626">
              <w:rPr>
                <w:rFonts w:cs="Arial"/>
                <w:sz w:val="21"/>
                <w:szCs w:val="21"/>
              </w:rPr>
              <w:t xml:space="preserve"> </w:t>
            </w:r>
            <w:r>
              <w:t>National legal expert</w:t>
            </w:r>
          </w:p>
          <w:p w14:paraId="1B39A573" w14:textId="23C2BC35"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Pr>
                <w:rFonts w:ascii="MS Gothic" w:eastAsia="MS Gothic" w:hAnsi="MS Gothic" w:cs="Arial" w:hint="eastAsia"/>
                <w:sz w:val="21"/>
                <w:szCs w:val="21"/>
              </w:rPr>
              <w:t>☐</w:t>
            </w:r>
            <w:r>
              <w:rPr>
                <w:rFonts w:cs="Arial"/>
                <w:sz w:val="21"/>
                <w:szCs w:val="21"/>
              </w:rPr>
              <w:t xml:space="preserve"> Other national experts/</w:t>
            </w:r>
            <w:r w:rsidR="00635BAF">
              <w:rPr>
                <w:rFonts w:cs="Arial"/>
                <w:sz w:val="21"/>
                <w:szCs w:val="21"/>
              </w:rPr>
              <w:t>organizations: _</w:t>
            </w:r>
            <w:r>
              <w:rPr>
                <w:rFonts w:cs="Arial"/>
                <w:sz w:val="21"/>
                <w:szCs w:val="21"/>
              </w:rPr>
              <w:t>_________________</w:t>
            </w:r>
          </w:p>
          <w:p w14:paraId="0D8CEE91"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00FA49D6" w:rsidRPr="00A51626" w14:paraId="7267A472" w14:textId="77777777" w:rsidTr="00FA49D6">
        <w:trPr>
          <w:trHeight w:val="567"/>
        </w:trPr>
        <w:tc>
          <w:tcPr>
            <w:cnfStyle w:val="001000000000" w:firstRow="0" w:lastRow="0" w:firstColumn="1" w:lastColumn="0" w:oddVBand="0" w:evenVBand="0" w:oddHBand="0" w:evenHBand="0" w:firstRowFirstColumn="0" w:firstRowLastColumn="0" w:lastRowFirstColumn="0" w:lastRowLastColumn="0"/>
            <w:tcW w:w="819" w:type="pct"/>
            <w:shd w:val="clear" w:color="auto" w:fill="68807A"/>
            <w:vAlign w:val="center"/>
          </w:tcPr>
          <w:p w14:paraId="57089E06" w14:textId="77777777" w:rsidR="00FA49D6" w:rsidRPr="00FA49D6" w:rsidRDefault="00FA49D6" w:rsidP="00FA49D6">
            <w:pPr>
              <w:spacing w:before="40" w:after="40"/>
              <w:rPr>
                <w:rFonts w:ascii="Avenir Next Ultra Light" w:hAnsi="Avenir Next Ultra Light" w:cs="Arial"/>
                <w:sz w:val="20"/>
                <w:szCs w:val="20"/>
              </w:rPr>
            </w:pPr>
            <w:r w:rsidRPr="00FA49D6">
              <w:rPr>
                <w:rFonts w:ascii="Avenir Next Ultra Light" w:hAnsi="Avenir Next Ultra Light" w:cs="Calibri"/>
                <w:color w:val="000000" w:themeColor="text1"/>
                <w:sz w:val="20"/>
                <w:szCs w:val="20"/>
              </w:rPr>
              <w:t>The J-REDD+ program’s participatory approaches</w:t>
            </w:r>
          </w:p>
        </w:tc>
        <w:tc>
          <w:tcPr>
            <w:tcW w:w="475" w:type="pct"/>
          </w:tcPr>
          <w:p w14:paraId="00A33B9A" w14:textId="7044E6C8"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p>
          <w:p w14:paraId="11323A3F" w14:textId="797D0813"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4EF13850" w14:textId="77777777" w:rsidR="00FA49D6" w:rsidRPr="00A51626" w:rsidRDefault="00FA49D6" w:rsidP="00CE0AF6">
            <w:pPr>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521" w:type="pct"/>
          </w:tcPr>
          <w:p w14:paraId="170A2799" w14:textId="351FDEEB"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Pr>
                <w:rFonts w:ascii="MS Gothic" w:eastAsia="MS Gothic" w:hAnsi="MS Gothic" w:cs="Arial" w:hint="eastAsia"/>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r>
              <w:rPr>
                <w:rFonts w:cs="Arial"/>
                <w:sz w:val="21"/>
                <w:szCs w:val="21"/>
              </w:rPr>
              <w:t>– See Tool 6</w:t>
            </w:r>
          </w:p>
          <w:p w14:paraId="7B9DE23C" w14:textId="1DD7F920"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72FD06D6"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3185" w:type="pct"/>
          </w:tcPr>
          <w:p w14:paraId="6FFC4749" w14:textId="77777777"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rPr>
                <w:rFonts w:cs="Arial"/>
                <w:b/>
                <w:bCs/>
                <w:sz w:val="21"/>
                <w:szCs w:val="21"/>
              </w:rPr>
            </w:pPr>
            <w:r w:rsidRPr="00202927">
              <w:rPr>
                <w:rFonts w:cs="Arial"/>
                <w:b/>
                <w:bCs/>
                <w:sz w:val="21"/>
                <w:szCs w:val="21"/>
              </w:rPr>
              <w:t xml:space="preserve">Personnel </w:t>
            </w:r>
            <w:r>
              <w:rPr>
                <w:rFonts w:cs="Arial"/>
                <w:b/>
                <w:bCs/>
                <w:sz w:val="21"/>
                <w:szCs w:val="21"/>
              </w:rPr>
              <w:t>to be involved</w:t>
            </w:r>
            <w:r w:rsidRPr="00202927">
              <w:rPr>
                <w:rFonts w:cs="Arial"/>
                <w:b/>
                <w:bCs/>
                <w:sz w:val="21"/>
                <w:szCs w:val="21"/>
              </w:rPr>
              <w:t xml:space="preserve"> </w:t>
            </w:r>
          </w:p>
          <w:p w14:paraId="3C47ABFD" w14:textId="2C778928"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cs="Arial" w:hint="eastAsia"/>
                <w:sz w:val="21"/>
                <w:szCs w:val="21"/>
              </w:rPr>
              <w:t>☐</w:t>
            </w:r>
            <w:r w:rsidRPr="00A51626">
              <w:rPr>
                <w:rFonts w:cs="Arial"/>
                <w:sz w:val="21"/>
                <w:szCs w:val="21"/>
              </w:rPr>
              <w:t xml:space="preserve"> </w:t>
            </w:r>
            <w:r>
              <w:t>J-REDD+ program’s assigned personnel</w:t>
            </w:r>
          </w:p>
          <w:p w14:paraId="249DD51D" w14:textId="7E3309C1"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pPr>
            <w:r w:rsidRPr="00A51626">
              <w:rPr>
                <w:rFonts w:ascii="Segoe UI Symbol" w:eastAsia="MS Gothic" w:hAnsi="Segoe UI Symbol" w:cs="Segoe UI Symbol"/>
                <w:sz w:val="21"/>
                <w:szCs w:val="21"/>
              </w:rPr>
              <w:t>☐</w:t>
            </w:r>
            <w:r w:rsidRPr="00A51626">
              <w:rPr>
                <w:rFonts w:cs="Arial"/>
                <w:sz w:val="21"/>
                <w:szCs w:val="21"/>
              </w:rPr>
              <w:t xml:space="preserve"> </w:t>
            </w:r>
            <w:r>
              <w:t>National legal expert</w:t>
            </w:r>
          </w:p>
          <w:p w14:paraId="560588F5" w14:textId="5C0E7973"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Pr>
                <w:rFonts w:ascii="MS Gothic" w:eastAsia="MS Gothic" w:hAnsi="MS Gothic" w:cs="Arial" w:hint="eastAsia"/>
                <w:sz w:val="21"/>
                <w:szCs w:val="21"/>
              </w:rPr>
              <w:t>☐</w:t>
            </w:r>
            <w:r>
              <w:rPr>
                <w:rFonts w:cs="Arial"/>
                <w:sz w:val="21"/>
                <w:szCs w:val="21"/>
              </w:rPr>
              <w:t xml:space="preserve"> Other national experts/</w:t>
            </w:r>
            <w:r w:rsidR="00635BAF">
              <w:rPr>
                <w:rFonts w:cs="Arial"/>
                <w:sz w:val="21"/>
                <w:szCs w:val="21"/>
              </w:rPr>
              <w:t>organizations: _</w:t>
            </w:r>
            <w:r>
              <w:rPr>
                <w:rFonts w:cs="Arial"/>
                <w:sz w:val="21"/>
                <w:szCs w:val="21"/>
              </w:rPr>
              <w:t>_________________</w:t>
            </w:r>
          </w:p>
          <w:p w14:paraId="2D640D86"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00FA49D6" w:rsidRPr="00A51626" w14:paraId="0709C356" w14:textId="77777777" w:rsidTr="00FA49D6">
        <w:trPr>
          <w:trHeight w:val="567"/>
        </w:trPr>
        <w:tc>
          <w:tcPr>
            <w:cnfStyle w:val="001000000000" w:firstRow="0" w:lastRow="0" w:firstColumn="1" w:lastColumn="0" w:oddVBand="0" w:evenVBand="0" w:oddHBand="0" w:evenHBand="0" w:firstRowFirstColumn="0" w:firstRowLastColumn="0" w:lastRowFirstColumn="0" w:lastRowLastColumn="0"/>
            <w:tcW w:w="819" w:type="pct"/>
            <w:shd w:val="clear" w:color="auto" w:fill="68807A"/>
            <w:vAlign w:val="center"/>
          </w:tcPr>
          <w:p w14:paraId="0D1C904B" w14:textId="77777777" w:rsidR="00FA49D6" w:rsidRPr="00FA49D6" w:rsidRDefault="00FA49D6" w:rsidP="00FA49D6">
            <w:pPr>
              <w:spacing w:before="40" w:after="40"/>
              <w:rPr>
                <w:rFonts w:ascii="Avenir Next Ultra Light" w:hAnsi="Avenir Next Ultra Light" w:cs="Arial"/>
                <w:sz w:val="20"/>
                <w:szCs w:val="20"/>
              </w:rPr>
            </w:pPr>
            <w:r w:rsidRPr="00FA49D6">
              <w:rPr>
                <w:rFonts w:ascii="Avenir Next Ultra Light" w:hAnsi="Avenir Next Ultra Light" w:cs="Calibri"/>
                <w:color w:val="000000" w:themeColor="text1"/>
                <w:sz w:val="20"/>
                <w:szCs w:val="20"/>
              </w:rPr>
              <w:t>The summary of information</w:t>
            </w:r>
          </w:p>
        </w:tc>
        <w:tc>
          <w:tcPr>
            <w:tcW w:w="475" w:type="pct"/>
          </w:tcPr>
          <w:p w14:paraId="1BD84FDC" w14:textId="1E5D58AF"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p>
          <w:p w14:paraId="547C70C1" w14:textId="2ACA36FA"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44FE810B" w14:textId="77777777" w:rsidR="00FA49D6" w:rsidRPr="00A51626" w:rsidRDefault="00FA49D6" w:rsidP="00CE0AF6">
            <w:pPr>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521" w:type="pct"/>
          </w:tcPr>
          <w:p w14:paraId="72A9502B" w14:textId="10CA7A1D"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Yes</w:t>
            </w:r>
            <w:r w:rsidRPr="00A51626">
              <w:rPr>
                <w:rFonts w:cs="Arial"/>
                <w:sz w:val="21"/>
                <w:szCs w:val="21"/>
              </w:rPr>
              <w:t xml:space="preserve"> </w:t>
            </w:r>
            <w:r>
              <w:rPr>
                <w:rFonts w:cs="Arial"/>
                <w:sz w:val="21"/>
                <w:szCs w:val="21"/>
              </w:rPr>
              <w:t>– See Tool 7</w:t>
            </w:r>
          </w:p>
          <w:p w14:paraId="64758545" w14:textId="28CEA39D"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sidRPr="00A51626">
              <w:rPr>
                <w:rFonts w:ascii="Segoe UI Symbol" w:eastAsia="MS Gothic" w:hAnsi="Segoe UI Symbol" w:cs="Segoe UI Symbol"/>
                <w:sz w:val="21"/>
                <w:szCs w:val="21"/>
              </w:rPr>
              <w:t>☐</w:t>
            </w:r>
            <w:r w:rsidRPr="00A51626">
              <w:rPr>
                <w:rFonts w:cs="Arial"/>
                <w:sz w:val="21"/>
                <w:szCs w:val="21"/>
              </w:rPr>
              <w:t xml:space="preserve"> </w:t>
            </w:r>
            <w:r>
              <w:rPr>
                <w:rFonts w:cs="Arial"/>
                <w:sz w:val="21"/>
                <w:szCs w:val="21"/>
              </w:rPr>
              <w:t>No</w:t>
            </w:r>
          </w:p>
          <w:p w14:paraId="0B868774"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3185" w:type="pct"/>
          </w:tcPr>
          <w:p w14:paraId="43072962" w14:textId="77777777"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rPr>
                <w:rFonts w:cs="Arial"/>
                <w:b/>
                <w:bCs/>
                <w:sz w:val="21"/>
                <w:szCs w:val="21"/>
              </w:rPr>
            </w:pPr>
            <w:r w:rsidRPr="00202927">
              <w:rPr>
                <w:rFonts w:cs="Arial"/>
                <w:b/>
                <w:bCs/>
                <w:sz w:val="21"/>
                <w:szCs w:val="21"/>
              </w:rPr>
              <w:t xml:space="preserve">Personnel </w:t>
            </w:r>
            <w:r>
              <w:rPr>
                <w:rFonts w:cs="Arial"/>
                <w:b/>
                <w:bCs/>
                <w:sz w:val="21"/>
                <w:szCs w:val="21"/>
              </w:rPr>
              <w:t>to be involved</w:t>
            </w:r>
            <w:r w:rsidRPr="00202927">
              <w:rPr>
                <w:rFonts w:cs="Arial"/>
                <w:b/>
                <w:bCs/>
                <w:sz w:val="21"/>
                <w:szCs w:val="21"/>
              </w:rPr>
              <w:t xml:space="preserve"> </w:t>
            </w:r>
          </w:p>
          <w:p w14:paraId="04CB6FF1" w14:textId="7416C7C2" w:rsidR="00FA49D6" w:rsidRPr="00202927" w:rsidRDefault="00FA49D6" w:rsidP="00CE0AF6">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cs="Arial" w:hint="eastAsia"/>
                <w:sz w:val="21"/>
                <w:szCs w:val="21"/>
              </w:rPr>
              <w:t>☐</w:t>
            </w:r>
            <w:r w:rsidRPr="00A51626">
              <w:rPr>
                <w:rFonts w:cs="Arial"/>
                <w:sz w:val="21"/>
                <w:szCs w:val="21"/>
              </w:rPr>
              <w:t xml:space="preserve"> </w:t>
            </w:r>
            <w:r>
              <w:t>J-REDD+ program’s assigned personnel</w:t>
            </w:r>
          </w:p>
          <w:p w14:paraId="0B923424" w14:textId="2F07F4D5"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pPr>
            <w:r w:rsidRPr="00A51626">
              <w:rPr>
                <w:rFonts w:ascii="Segoe UI Symbol" w:eastAsia="MS Gothic" w:hAnsi="Segoe UI Symbol" w:cs="Segoe UI Symbol"/>
                <w:sz w:val="21"/>
                <w:szCs w:val="21"/>
              </w:rPr>
              <w:t>☐</w:t>
            </w:r>
            <w:r w:rsidRPr="00A51626">
              <w:rPr>
                <w:rFonts w:cs="Arial"/>
                <w:sz w:val="21"/>
                <w:szCs w:val="21"/>
              </w:rPr>
              <w:t xml:space="preserve"> </w:t>
            </w:r>
            <w:r>
              <w:t>National legal expert</w:t>
            </w:r>
          </w:p>
          <w:p w14:paraId="02E6F66A" w14:textId="1FB69FCA" w:rsidR="00FA49D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r>
              <w:rPr>
                <w:rFonts w:ascii="MS Gothic" w:eastAsia="MS Gothic" w:hAnsi="MS Gothic" w:cs="Arial" w:hint="eastAsia"/>
                <w:sz w:val="21"/>
                <w:szCs w:val="21"/>
              </w:rPr>
              <w:t>☐</w:t>
            </w:r>
            <w:r>
              <w:rPr>
                <w:rFonts w:cs="Arial"/>
                <w:sz w:val="21"/>
                <w:szCs w:val="21"/>
              </w:rPr>
              <w:t xml:space="preserve"> Other national experts/</w:t>
            </w:r>
            <w:r w:rsidR="00635BAF">
              <w:rPr>
                <w:rFonts w:cs="Arial"/>
                <w:sz w:val="21"/>
                <w:szCs w:val="21"/>
              </w:rPr>
              <w:t>organizations: _</w:t>
            </w:r>
            <w:r>
              <w:rPr>
                <w:rFonts w:cs="Arial"/>
                <w:sz w:val="21"/>
                <w:szCs w:val="21"/>
              </w:rPr>
              <w:t>_________________</w:t>
            </w:r>
          </w:p>
          <w:p w14:paraId="7187EFDC" w14:textId="77777777" w:rsidR="00FA49D6" w:rsidRPr="00A51626" w:rsidRDefault="00FA49D6" w:rsidP="00CE0AF6">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00FA49D6" w:rsidRPr="00A51626" w14:paraId="4BB27996" w14:textId="77777777" w:rsidTr="00FA49D6">
        <w:trPr>
          <w:trHeight w:val="269"/>
        </w:trPr>
        <w:tc>
          <w:tcPr>
            <w:cnfStyle w:val="001000000000" w:firstRow="0" w:lastRow="0" w:firstColumn="1" w:lastColumn="0" w:oddVBand="0" w:evenVBand="0" w:oddHBand="0" w:evenHBand="0" w:firstRowFirstColumn="0" w:firstRowLastColumn="0" w:lastRowFirstColumn="0" w:lastRowLastColumn="0"/>
            <w:tcW w:w="819" w:type="pct"/>
            <w:shd w:val="clear" w:color="auto" w:fill="68807A"/>
            <w:vAlign w:val="center"/>
          </w:tcPr>
          <w:p w14:paraId="1C9780C1" w14:textId="77777777" w:rsidR="00FA49D6" w:rsidRPr="00FA49D6" w:rsidRDefault="00FA49D6" w:rsidP="00FA49D6">
            <w:pPr>
              <w:spacing w:before="40" w:after="40"/>
              <w:rPr>
                <w:rFonts w:ascii="Avenir Next Ultra Light" w:hAnsi="Avenir Next Ultra Light" w:cs="Arial"/>
                <w:sz w:val="20"/>
                <w:szCs w:val="20"/>
              </w:rPr>
            </w:pPr>
            <w:r w:rsidRPr="00FA49D6">
              <w:rPr>
                <w:rFonts w:ascii="Avenir Next Ultra Light" w:hAnsi="Avenir Next Ultra Light" w:cs="Arial"/>
                <w:sz w:val="20"/>
                <w:szCs w:val="20"/>
              </w:rPr>
              <w:t xml:space="preserve">Next steps if an </w:t>
            </w:r>
            <w:r w:rsidRPr="00FA49D6">
              <w:rPr>
                <w:rFonts w:ascii="Avenir Next Ultra Light" w:hAnsi="Avenir Next Ultra Light" w:cs="Arial"/>
                <w:sz w:val="20"/>
                <w:szCs w:val="20"/>
              </w:rPr>
              <w:lastRenderedPageBreak/>
              <w:t>element is NOT in place</w:t>
            </w:r>
          </w:p>
          <w:p w14:paraId="7B331CAA" w14:textId="77777777" w:rsidR="00FA49D6" w:rsidRPr="00FA49D6" w:rsidRDefault="00FA49D6" w:rsidP="00FA49D6">
            <w:pPr>
              <w:spacing w:before="40" w:after="40"/>
              <w:rPr>
                <w:rFonts w:ascii="Avenir Next Ultra Light" w:hAnsi="Avenir Next Ultra Light" w:cs="Arial"/>
                <w:sz w:val="20"/>
                <w:szCs w:val="20"/>
              </w:rPr>
            </w:pPr>
          </w:p>
          <w:p w14:paraId="72DF9A91" w14:textId="77777777" w:rsidR="00FA49D6" w:rsidRPr="00FA49D6" w:rsidRDefault="00FA49D6" w:rsidP="00FA49D6">
            <w:pPr>
              <w:spacing w:before="40" w:after="40"/>
              <w:rPr>
                <w:rFonts w:ascii="Avenir Next Ultra Light" w:hAnsi="Avenir Next Ultra Light" w:cs="Arial"/>
                <w:sz w:val="20"/>
                <w:szCs w:val="20"/>
              </w:rPr>
            </w:pPr>
            <w:r w:rsidRPr="00FA49D6">
              <w:rPr>
                <w:rFonts w:ascii="Avenir Next Ultra Light" w:hAnsi="Avenir Next Ultra Light" w:cs="Arial"/>
                <w:sz w:val="20"/>
                <w:szCs w:val="20"/>
              </w:rPr>
              <w:t xml:space="preserve"> </w:t>
            </w:r>
          </w:p>
        </w:tc>
        <w:tc>
          <w:tcPr>
            <w:tcW w:w="4181" w:type="pct"/>
            <w:gridSpan w:val="3"/>
          </w:tcPr>
          <w:p w14:paraId="0739B3C6" w14:textId="77777777" w:rsidR="00FA49D6" w:rsidRPr="00A51626" w:rsidRDefault="00FA49D6" w:rsidP="00CE0AF6">
            <w:pPr>
              <w:cnfStyle w:val="000000000000" w:firstRow="0" w:lastRow="0" w:firstColumn="0" w:lastColumn="0" w:oddVBand="0" w:evenVBand="0" w:oddHBand="0" w:evenHBand="0" w:firstRowFirstColumn="0" w:firstRowLastColumn="0" w:lastRowFirstColumn="0" w:lastRowLastColumn="0"/>
              <w:rPr>
                <w:rFonts w:cs="Arial"/>
                <w:sz w:val="21"/>
                <w:szCs w:val="21"/>
              </w:rPr>
            </w:pPr>
          </w:p>
        </w:tc>
      </w:tr>
    </w:tbl>
    <w:p w14:paraId="4EEB2F42" w14:textId="77777777" w:rsidR="00FA49D6" w:rsidRDefault="00FA49D6">
      <w:pPr>
        <w:spacing w:before="120" w:after="120" w:line="336" w:lineRule="auto"/>
        <w:rPr>
          <w:rFonts w:ascii="IBM Plex Sans" w:eastAsia="IBM Plex Sans" w:hAnsi="IBM Plex Sans" w:cs="IBM Plex Sans"/>
          <w:color w:val="000000"/>
        </w:rPr>
      </w:pPr>
    </w:p>
    <w:sectPr w:rsidR="00FA49D6" w:rsidSect="001506A1">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8F90F" w14:textId="77777777" w:rsidR="001506A1" w:rsidRDefault="001506A1" w:rsidP="00331991">
      <w:r>
        <w:separator/>
      </w:r>
    </w:p>
  </w:endnote>
  <w:endnote w:type="continuationSeparator" w:id="0">
    <w:p w14:paraId="7EF0BAAC" w14:textId="77777777" w:rsidR="001506A1" w:rsidRDefault="001506A1" w:rsidP="00331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2AB7ECC5-4B9F-D546-8178-E6FA4532B1F8}"/>
  </w:font>
  <w:font w:name="Times New Roman">
    <w:panose1 w:val="02020603050405020304"/>
    <w:charset w:val="00"/>
    <w:family w:val="roman"/>
    <w:pitch w:val="variable"/>
    <w:sig w:usb0="E0002EFF" w:usb1="C000785B" w:usb2="00000009" w:usb3="00000000" w:csb0="000001FF" w:csb1="00000000"/>
    <w:embedRegular r:id="rId2" w:fontKey="{716EF961-543B-EA45-90F3-78B67C5D4CB5}"/>
    <w:embedBold r:id="rId3" w:fontKey="{AE96B4C0-FB2F-364A-864B-F7BA202A35C0}"/>
    <w:embedItalic r:id="rId4" w:fontKey="{7558F49B-80C6-1943-8B8C-6197AFEEF788}"/>
  </w:font>
  <w:font w:name="Courier New">
    <w:panose1 w:val="02070309020205020404"/>
    <w:charset w:val="00"/>
    <w:family w:val="modern"/>
    <w:pitch w:val="fixed"/>
    <w:sig w:usb0="E0002AFF" w:usb1="C0007843" w:usb2="00000009" w:usb3="00000000" w:csb0="000001FF" w:csb1="00000000"/>
    <w:embedRegular r:id="rId5" w:fontKey="{C7BCC15E-8A90-E349-B94D-A966B73F2BA7}"/>
  </w:font>
  <w:font w:name="Wingdings">
    <w:panose1 w:val="05000000000000000000"/>
    <w:charset w:val="4D"/>
    <w:family w:val="decorative"/>
    <w:pitch w:val="variable"/>
    <w:sig w:usb0="00000003" w:usb1="00000000" w:usb2="00000000" w:usb3="00000000" w:csb0="80000001" w:csb1="00000000"/>
    <w:embedRegular r:id="rId6" w:fontKey="{795F5446-5C95-6346-969D-35B827A55759}"/>
  </w:font>
  <w:font w:name="Bodoni 72 Book">
    <w:altName w:val="BODONI 72 BOOK"/>
    <w:panose1 w:val="00000400000000000000"/>
    <w:charset w:val="00"/>
    <w:family w:val="auto"/>
    <w:pitch w:val="variable"/>
    <w:sig w:usb0="00000003" w:usb1="00000000" w:usb2="00000000" w:usb3="00000000" w:csb0="00000001" w:csb1="00000000"/>
    <w:embedRegular r:id="rId7" w:fontKey="{AC582164-8950-7045-8B7B-372C7DB59CE6}"/>
    <w:embedBold r:id="rId8" w:fontKey="{5A9394DD-7154-9743-9F93-220911B613C5}"/>
  </w:font>
  <w:font w:name="Calibri">
    <w:panose1 w:val="020F0502020204030204"/>
    <w:charset w:val="00"/>
    <w:family w:val="swiss"/>
    <w:pitch w:val="variable"/>
    <w:sig w:usb0="E4002EFF" w:usb1="C200247B" w:usb2="00000009" w:usb3="00000000" w:csb0="000001FF" w:csb1="00000000"/>
    <w:embedRegular r:id="rId9" w:fontKey="{3E3AD4C2-D594-B547-BB62-07FFA67C5A11}"/>
    <w:embedBold r:id="rId10" w:fontKey="{5F124E94-4FF3-A547-88A9-66FDF5E26C7C}"/>
    <w:embedItalic r:id="rId11" w:fontKey="{B8BDB172-BC59-3A43-AE68-8EE87A0B1D50}"/>
  </w:font>
  <w:font w:name="Arial">
    <w:panose1 w:val="020B0604020202020204"/>
    <w:charset w:val="00"/>
    <w:family w:val="swiss"/>
    <w:pitch w:val="variable"/>
    <w:sig w:usb0="E0002AFF" w:usb1="C0007843" w:usb2="00000009" w:usb3="00000000" w:csb0="000001FF" w:csb1="00000000"/>
    <w:embedRegular r:id="rId12" w:fontKey="{0791AEC8-D768-DA45-99B0-7DC2F6C86D6C}"/>
    <w:embedBold r:id="rId13" w:fontKey="{C756FB38-A1A2-4242-BC63-C6AAED3837C0}"/>
    <w:embedBoldItalic r:id="rId14" w:fontKey="{378E5C4D-2E79-BE4E-944D-10638CB32C87}"/>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6" w:fontKey="{738BF6CB-7E30-5143-8C5F-F52F33F9C06D}"/>
    <w:embedBold r:id="rId17" w:fontKey="{4F9DB0BC-F465-EF4A-8743-71986B054583}"/>
    <w:embedItalic r:id="rId18" w:fontKey="{4958674F-45B3-7B4E-9C13-824F0AAFB029}"/>
  </w:font>
  <w:font w:name="IBM Plex Sans">
    <w:panose1 w:val="020B0503050203000203"/>
    <w:charset w:val="00"/>
    <w:family w:val="swiss"/>
    <w:pitch w:val="variable"/>
    <w:sig w:usb0="A00002EF" w:usb1="5000207B" w:usb2="00000000" w:usb3="00000000" w:csb0="0000019F" w:csb1="00000000"/>
    <w:embedRegular r:id="rId19" w:fontKey="{A1E57529-68C2-2C47-8CAA-8800A1339FC2}"/>
  </w:font>
  <w:font w:name="IBM Plex Sans Bold">
    <w:panose1 w:val="020B0604020202020204"/>
    <w:charset w:val="00"/>
    <w:family w:val="auto"/>
    <w:pitch w:val="default"/>
  </w:font>
  <w:font w:name="Montserrat">
    <w:panose1 w:val="00000500000000000000"/>
    <w:charset w:val="4D"/>
    <w:family w:val="auto"/>
    <w:pitch w:val="variable"/>
    <w:sig w:usb0="2000020F" w:usb1="00000003" w:usb2="00000000" w:usb3="00000000" w:csb0="00000197" w:csb1="00000000"/>
    <w:embedRegular r:id="rId21" w:fontKey="{9B83D8C1-0470-3447-9F5B-5A72701C4FC6}"/>
  </w:font>
  <w:font w:name="Avenir Next Ultra Light">
    <w:panose1 w:val="020B0203020202020204"/>
    <w:charset w:val="4D"/>
    <w:family w:val="swiss"/>
    <w:pitch w:val="variable"/>
    <w:sig w:usb0="800000AF" w:usb1="5000204A" w:usb2="00000000" w:usb3="00000000" w:csb0="0000009B" w:csb1="00000000"/>
    <w:embedBold r:id="rId22" w:fontKey="{87576058-11D9-0D4F-A3C9-FF4900649441}"/>
  </w:font>
  <w:font w:name="Segoe UI Symbol">
    <w:panose1 w:val="020B0502040204020203"/>
    <w:charset w:val="00"/>
    <w:family w:val="swiss"/>
    <w:pitch w:val="variable"/>
    <w:sig w:usb0="800001E3" w:usb1="1200FFEF" w:usb2="00040000" w:usb3="00000000" w:csb0="00000001" w:csb1="00000000"/>
    <w:embedRegular r:id="rId23" w:fontKey="{2C5E42C0-C8A0-004C-A98E-127FB10A2F58}"/>
  </w:font>
  <w:font w:name="MS Gothic">
    <w:altName w:val="ＭＳ ゴシック"/>
    <w:panose1 w:val="020B0609070205080204"/>
    <w:charset w:val="80"/>
    <w:family w:val="modern"/>
    <w:pitch w:val="fixed"/>
    <w:sig w:usb0="E00002FF" w:usb1="6AC7FDFB" w:usb2="08000012" w:usb3="00000000" w:csb0="0002009F" w:csb1="00000000"/>
    <w:embedRegular r:id="rId24" w:subsetted="1" w:fontKey="{600CC5A4-8AEA-C34A-AF25-B4DFBCBAD9EC}"/>
  </w:font>
  <w:font w:name="Calibri Light">
    <w:panose1 w:val="020F0302020204030204"/>
    <w:charset w:val="00"/>
    <w:family w:val="swiss"/>
    <w:pitch w:val="variable"/>
    <w:sig w:usb0="E4002EFF" w:usb1="C200247B" w:usb2="00000009" w:usb3="00000000" w:csb0="000001FF" w:csb1="00000000"/>
    <w:embedRegular r:id="rId25" w:fontKey="{EAB32472-B983-094C-A30D-48BED3951D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90EBF" w14:textId="77777777" w:rsidR="001506A1" w:rsidRDefault="001506A1" w:rsidP="00331991">
      <w:r>
        <w:separator/>
      </w:r>
    </w:p>
  </w:footnote>
  <w:footnote w:type="continuationSeparator" w:id="0">
    <w:p w14:paraId="64A9B0A8" w14:textId="77777777" w:rsidR="001506A1" w:rsidRDefault="001506A1" w:rsidP="00331991">
      <w:r>
        <w:continuationSeparator/>
      </w:r>
    </w:p>
  </w:footnote>
  <w:footnote w:id="1">
    <w:p w14:paraId="1B6345BA" w14:textId="77777777" w:rsidR="00331991" w:rsidRPr="00424D0C" w:rsidRDefault="00331991" w:rsidP="00331991">
      <w:pPr>
        <w:pStyle w:val="FootnoteText"/>
        <w:rPr>
          <w:sz w:val="16"/>
          <w:szCs w:val="16"/>
        </w:rPr>
      </w:pPr>
      <w:r w:rsidRPr="00424D0C">
        <w:rPr>
          <w:rStyle w:val="FootnoteReference"/>
          <w:sz w:val="16"/>
          <w:szCs w:val="16"/>
        </w:rPr>
        <w:footnoteRef/>
      </w:r>
      <w:r w:rsidRPr="00424D0C">
        <w:rPr>
          <w:sz w:val="16"/>
          <w:szCs w:val="16"/>
        </w:rPr>
        <w:t xml:space="preserve"> For purposes of this tool, institutional arrangements for the SIS </w:t>
      </w:r>
      <w:proofErr w:type="gramStart"/>
      <w:r w:rsidRPr="00424D0C">
        <w:rPr>
          <w:sz w:val="16"/>
          <w:szCs w:val="16"/>
        </w:rPr>
        <w:t>is</w:t>
      </w:r>
      <w:proofErr w:type="gramEnd"/>
      <w:r w:rsidRPr="00424D0C">
        <w:rPr>
          <w:sz w:val="16"/>
          <w:szCs w:val="16"/>
        </w:rPr>
        <w:t xml:space="preserve"> understood to be a clear determination of ‘who’ [i.e. single government institution and/or combination of governmental and non-governmental actors] will be involved in the operation of the SIS, and in performing the different functions of the SIS, as well as how such functions will be carried out. </w:t>
      </w:r>
    </w:p>
  </w:footnote>
  <w:footnote w:id="2">
    <w:p w14:paraId="4A76AE50" w14:textId="77777777" w:rsidR="00331991" w:rsidRDefault="00331991" w:rsidP="00331991">
      <w:pPr>
        <w:pStyle w:val="FootnoteText"/>
      </w:pPr>
      <w:r>
        <w:rPr>
          <w:rStyle w:val="FootnoteReference"/>
        </w:rPr>
        <w:footnoteRef/>
      </w:r>
      <w:r>
        <w:t xml:space="preserve"> </w:t>
      </w:r>
      <w:r w:rsidRPr="00C13DD5">
        <w:rPr>
          <w:b/>
          <w:bCs/>
        </w:rPr>
        <w:t>Note</w:t>
      </w:r>
      <w:r>
        <w:t>: this information might be provided in the SOI and/or REDD+ Strategy</w:t>
      </w:r>
    </w:p>
  </w:footnote>
  <w:footnote w:id="3">
    <w:p w14:paraId="460A0050" w14:textId="77777777" w:rsidR="00331991" w:rsidRDefault="00331991" w:rsidP="00331991">
      <w:pPr>
        <w:pStyle w:val="FootnoteText"/>
      </w:pPr>
      <w:r>
        <w:rPr>
          <w:rStyle w:val="FootnoteReference"/>
        </w:rPr>
        <w:footnoteRef/>
      </w:r>
      <w:r>
        <w:t xml:space="preserve"> </w:t>
      </w:r>
      <w:r w:rsidRPr="00C13DD5">
        <w:rPr>
          <w:b/>
          <w:bCs/>
        </w:rPr>
        <w:t>Note</w:t>
      </w:r>
      <w:r>
        <w:t>: this information might be provided in the SOI and/or REDD+ Strategy</w:t>
      </w:r>
    </w:p>
  </w:footnote>
  <w:footnote w:id="4">
    <w:p w14:paraId="08BAE152" w14:textId="77777777" w:rsidR="00331991" w:rsidRDefault="00331991" w:rsidP="00331991">
      <w:pPr>
        <w:pStyle w:val="FootnoteText"/>
      </w:pPr>
      <w:r>
        <w:rPr>
          <w:rStyle w:val="FootnoteReference"/>
        </w:rPr>
        <w:footnoteRef/>
      </w:r>
      <w:r>
        <w:t xml:space="preserve"> Some jurisdictions may have prepared and adopted benefit sharing plans under the FCPF, which were designed in correlation to the scope of FCPF funded activities. These may not correlate to the scope of the entire J-REDD+ program’s activities/actions. </w:t>
      </w:r>
    </w:p>
  </w:footnote>
  <w:footnote w:id="5">
    <w:p w14:paraId="0462BB9E" w14:textId="77777777" w:rsidR="00331991" w:rsidRDefault="00331991" w:rsidP="00331991">
      <w:pPr>
        <w:pStyle w:val="FootnoteText"/>
      </w:pPr>
      <w:r>
        <w:rPr>
          <w:rStyle w:val="FootnoteReference"/>
        </w:rPr>
        <w:footnoteRef/>
      </w:r>
      <w:r>
        <w:t xml:space="preserve"> Some jurisdictions may have identified/ adopted grievance redress mechanisms under the FCPF, which were designed to address grievances under FCPF funded activities. Consequently, their scope may not correlate to the scope of the entire J-REDD+ program’s activities/actions. </w:t>
      </w:r>
    </w:p>
  </w:footnote>
  <w:footnote w:id="6">
    <w:p w14:paraId="5AC4520C" w14:textId="77777777" w:rsidR="00331991" w:rsidRPr="00FA49D6" w:rsidRDefault="00331991" w:rsidP="00331991">
      <w:pPr>
        <w:pStyle w:val="FootnoteText"/>
        <w:rPr>
          <w:rFonts w:ascii="Avenir Next" w:hAnsi="Avenir Next"/>
          <w:sz w:val="14"/>
          <w:szCs w:val="14"/>
        </w:rPr>
      </w:pPr>
      <w:r w:rsidRPr="00FA49D6">
        <w:rPr>
          <w:rStyle w:val="FootnoteReference"/>
          <w:rFonts w:ascii="Avenir Next" w:hAnsi="Avenir Next"/>
          <w:sz w:val="14"/>
          <w:szCs w:val="14"/>
        </w:rPr>
        <w:footnoteRef/>
      </w:r>
      <w:r w:rsidRPr="00FA49D6">
        <w:rPr>
          <w:rFonts w:ascii="Avenir Next" w:hAnsi="Avenir Next"/>
          <w:sz w:val="14"/>
          <w:szCs w:val="14"/>
        </w:rPr>
        <w:t xml:space="preserve"> </w:t>
      </w:r>
      <w:r w:rsidRPr="00FA49D6">
        <w:rPr>
          <w:rFonts w:ascii="Avenir Next" w:hAnsi="Avenir Next"/>
          <w:b/>
          <w:bCs/>
          <w:sz w:val="14"/>
          <w:szCs w:val="14"/>
        </w:rPr>
        <w:t>Note</w:t>
      </w:r>
      <w:r w:rsidRPr="00FA49D6">
        <w:rPr>
          <w:rFonts w:ascii="Avenir Next" w:hAnsi="Avenir Next"/>
          <w:sz w:val="14"/>
          <w:szCs w:val="14"/>
        </w:rPr>
        <w:t>: this information might be provided in the SOI and/or REDD+ Strategy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13FC"/>
    <w:multiLevelType w:val="hybridMultilevel"/>
    <w:tmpl w:val="B6183B76"/>
    <w:lvl w:ilvl="0" w:tplc="A02C29E8">
      <w:start w:val="1"/>
      <w:numFmt w:val="bullet"/>
      <w:lvlText w:val=""/>
      <w:lvlJc w:val="left"/>
      <w:pPr>
        <w:ind w:left="400" w:hanging="360"/>
      </w:pPr>
      <w:rPr>
        <w:rFonts w:ascii="Symbol" w:hAnsi="Symbol"/>
      </w:rPr>
    </w:lvl>
    <w:lvl w:ilvl="1" w:tplc="F526698E">
      <w:start w:val="1"/>
      <w:numFmt w:val="bullet"/>
      <w:lvlText w:val="o"/>
      <w:lvlJc w:val="left"/>
      <w:pPr>
        <w:ind w:left="800" w:hanging="360"/>
      </w:pPr>
      <w:rPr>
        <w:rFonts w:ascii="Courier New" w:hAnsi="Courier New"/>
      </w:rPr>
    </w:lvl>
    <w:lvl w:ilvl="2" w:tplc="0058A2C8">
      <w:start w:val="1"/>
      <w:numFmt w:val="bullet"/>
      <w:lvlText w:val=""/>
      <w:lvlJc w:val="left"/>
      <w:pPr>
        <w:ind w:left="1200" w:hanging="360"/>
      </w:pPr>
      <w:rPr>
        <w:rFonts w:ascii="Wingdings" w:hAnsi="Wingdings"/>
      </w:rPr>
    </w:lvl>
    <w:lvl w:ilvl="3" w:tplc="4376856E">
      <w:start w:val="1"/>
      <w:numFmt w:val="bullet"/>
      <w:lvlText w:val=""/>
      <w:lvlJc w:val="left"/>
      <w:pPr>
        <w:ind w:left="1600" w:hanging="360"/>
      </w:pPr>
      <w:rPr>
        <w:rFonts w:ascii="Symbol" w:hAnsi="Symbol"/>
      </w:rPr>
    </w:lvl>
    <w:lvl w:ilvl="4" w:tplc="6D84D520">
      <w:start w:val="1"/>
      <w:numFmt w:val="bullet"/>
      <w:lvlText w:val="o"/>
      <w:lvlJc w:val="left"/>
      <w:pPr>
        <w:ind w:left="2000" w:hanging="360"/>
      </w:pPr>
      <w:rPr>
        <w:rFonts w:ascii="Courier New" w:hAnsi="Courier New"/>
      </w:rPr>
    </w:lvl>
    <w:lvl w:ilvl="5" w:tplc="B39ACE86">
      <w:start w:val="1"/>
      <w:numFmt w:val="bullet"/>
      <w:lvlText w:val=""/>
      <w:lvlJc w:val="left"/>
      <w:pPr>
        <w:ind w:left="2400" w:hanging="360"/>
      </w:pPr>
      <w:rPr>
        <w:rFonts w:ascii="Wingdings" w:hAnsi="Wingdings"/>
      </w:rPr>
    </w:lvl>
    <w:lvl w:ilvl="6" w:tplc="837CA008">
      <w:start w:val="1"/>
      <w:numFmt w:val="bullet"/>
      <w:lvlText w:val=""/>
      <w:lvlJc w:val="left"/>
      <w:pPr>
        <w:ind w:left="2800" w:hanging="360"/>
      </w:pPr>
      <w:rPr>
        <w:rFonts w:ascii="Symbol" w:hAnsi="Symbol"/>
      </w:rPr>
    </w:lvl>
    <w:lvl w:ilvl="7" w:tplc="C23AB4EC">
      <w:start w:val="1"/>
      <w:numFmt w:val="bullet"/>
      <w:lvlText w:val="o"/>
      <w:lvlJc w:val="left"/>
      <w:pPr>
        <w:ind w:left="3200" w:hanging="360"/>
      </w:pPr>
      <w:rPr>
        <w:rFonts w:ascii="Courier New" w:hAnsi="Courier New"/>
      </w:rPr>
    </w:lvl>
    <w:lvl w:ilvl="8" w:tplc="478C5DC2">
      <w:numFmt w:val="decimal"/>
      <w:lvlText w:val=""/>
      <w:lvlJc w:val="left"/>
    </w:lvl>
  </w:abstractNum>
  <w:abstractNum w:abstractNumId="1" w15:restartNumberingAfterBreak="0">
    <w:nsid w:val="0EC54DF3"/>
    <w:multiLevelType w:val="hybridMultilevel"/>
    <w:tmpl w:val="3684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956F5"/>
    <w:multiLevelType w:val="hybridMultilevel"/>
    <w:tmpl w:val="1FC2C6DE"/>
    <w:lvl w:ilvl="0" w:tplc="5D948112">
      <w:start w:val="10"/>
      <w:numFmt w:val="bullet"/>
      <w:lvlText w:val="-"/>
      <w:lvlJc w:val="left"/>
      <w:pPr>
        <w:ind w:left="720" w:hanging="360"/>
      </w:pPr>
      <w:rPr>
        <w:rFonts w:ascii="Bodoni 72 Book" w:eastAsiaTheme="minorHAnsi" w:hAnsi="Bodoni 72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459D3"/>
    <w:multiLevelType w:val="hybridMultilevel"/>
    <w:tmpl w:val="7F821380"/>
    <w:lvl w:ilvl="0" w:tplc="5E488990">
      <w:start w:val="1"/>
      <w:numFmt w:val="bullet"/>
      <w:lvlText w:val=""/>
      <w:lvlJc w:val="left"/>
      <w:pPr>
        <w:ind w:left="400" w:hanging="360"/>
      </w:pPr>
      <w:rPr>
        <w:rFonts w:ascii="Symbol" w:hAnsi="Symbol"/>
      </w:rPr>
    </w:lvl>
    <w:lvl w:ilvl="1" w:tplc="C13499FC">
      <w:start w:val="1"/>
      <w:numFmt w:val="bullet"/>
      <w:lvlText w:val="o"/>
      <w:lvlJc w:val="left"/>
      <w:pPr>
        <w:ind w:left="800" w:hanging="360"/>
      </w:pPr>
      <w:rPr>
        <w:rFonts w:ascii="Courier New" w:hAnsi="Courier New"/>
      </w:rPr>
    </w:lvl>
    <w:lvl w:ilvl="2" w:tplc="D60412B6">
      <w:start w:val="1"/>
      <w:numFmt w:val="bullet"/>
      <w:lvlText w:val=""/>
      <w:lvlJc w:val="left"/>
      <w:pPr>
        <w:ind w:left="1200" w:hanging="360"/>
      </w:pPr>
      <w:rPr>
        <w:rFonts w:ascii="Wingdings" w:hAnsi="Wingdings"/>
      </w:rPr>
    </w:lvl>
    <w:lvl w:ilvl="3" w:tplc="1B54EA2C">
      <w:start w:val="1"/>
      <w:numFmt w:val="bullet"/>
      <w:lvlText w:val=""/>
      <w:lvlJc w:val="left"/>
      <w:pPr>
        <w:ind w:left="1600" w:hanging="360"/>
      </w:pPr>
      <w:rPr>
        <w:rFonts w:ascii="Symbol" w:hAnsi="Symbol"/>
      </w:rPr>
    </w:lvl>
    <w:lvl w:ilvl="4" w:tplc="3FCE4BB0">
      <w:start w:val="1"/>
      <w:numFmt w:val="bullet"/>
      <w:lvlText w:val="o"/>
      <w:lvlJc w:val="left"/>
      <w:pPr>
        <w:ind w:left="2000" w:hanging="360"/>
      </w:pPr>
      <w:rPr>
        <w:rFonts w:ascii="Courier New" w:hAnsi="Courier New"/>
      </w:rPr>
    </w:lvl>
    <w:lvl w:ilvl="5" w:tplc="2174CCC8">
      <w:start w:val="1"/>
      <w:numFmt w:val="bullet"/>
      <w:lvlText w:val=""/>
      <w:lvlJc w:val="left"/>
      <w:pPr>
        <w:ind w:left="2400" w:hanging="360"/>
      </w:pPr>
      <w:rPr>
        <w:rFonts w:ascii="Wingdings" w:hAnsi="Wingdings"/>
      </w:rPr>
    </w:lvl>
    <w:lvl w:ilvl="6" w:tplc="BFFEFFAA">
      <w:start w:val="1"/>
      <w:numFmt w:val="bullet"/>
      <w:lvlText w:val=""/>
      <w:lvlJc w:val="left"/>
      <w:pPr>
        <w:ind w:left="2800" w:hanging="360"/>
      </w:pPr>
      <w:rPr>
        <w:rFonts w:ascii="Symbol" w:hAnsi="Symbol"/>
      </w:rPr>
    </w:lvl>
    <w:lvl w:ilvl="7" w:tplc="B398431C">
      <w:start w:val="1"/>
      <w:numFmt w:val="bullet"/>
      <w:lvlText w:val="o"/>
      <w:lvlJc w:val="left"/>
      <w:pPr>
        <w:ind w:left="3200" w:hanging="360"/>
      </w:pPr>
      <w:rPr>
        <w:rFonts w:ascii="Courier New" w:hAnsi="Courier New"/>
      </w:rPr>
    </w:lvl>
    <w:lvl w:ilvl="8" w:tplc="E990E92A">
      <w:numFmt w:val="decimal"/>
      <w:lvlText w:val=""/>
      <w:lvlJc w:val="left"/>
    </w:lvl>
  </w:abstractNum>
  <w:abstractNum w:abstractNumId="4" w15:restartNumberingAfterBreak="0">
    <w:nsid w:val="14762A50"/>
    <w:multiLevelType w:val="hybridMultilevel"/>
    <w:tmpl w:val="6D04A91A"/>
    <w:lvl w:ilvl="0" w:tplc="0FE62E2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AC3F57"/>
    <w:multiLevelType w:val="hybridMultilevel"/>
    <w:tmpl w:val="4796B0A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A164DD"/>
    <w:multiLevelType w:val="hybridMultilevel"/>
    <w:tmpl w:val="B8C86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641547"/>
    <w:multiLevelType w:val="hybridMultilevel"/>
    <w:tmpl w:val="18FE49EA"/>
    <w:lvl w:ilvl="0" w:tplc="1D82747A">
      <w:start w:val="1"/>
      <w:numFmt w:val="bullet"/>
      <w:lvlText w:val=""/>
      <w:lvlJc w:val="left"/>
      <w:pPr>
        <w:ind w:left="400" w:hanging="360"/>
      </w:pPr>
      <w:rPr>
        <w:rFonts w:ascii="Symbol" w:hAnsi="Symbol"/>
      </w:rPr>
    </w:lvl>
    <w:lvl w:ilvl="1" w:tplc="E8303C54">
      <w:start w:val="1"/>
      <w:numFmt w:val="bullet"/>
      <w:lvlText w:val="o"/>
      <w:lvlJc w:val="left"/>
      <w:pPr>
        <w:ind w:left="800" w:hanging="360"/>
      </w:pPr>
      <w:rPr>
        <w:rFonts w:ascii="Courier New" w:hAnsi="Courier New"/>
      </w:rPr>
    </w:lvl>
    <w:lvl w:ilvl="2" w:tplc="D690E324">
      <w:start w:val="1"/>
      <w:numFmt w:val="bullet"/>
      <w:lvlText w:val=""/>
      <w:lvlJc w:val="left"/>
      <w:pPr>
        <w:ind w:left="1200" w:hanging="360"/>
      </w:pPr>
      <w:rPr>
        <w:rFonts w:ascii="Wingdings" w:hAnsi="Wingdings"/>
      </w:rPr>
    </w:lvl>
    <w:lvl w:ilvl="3" w:tplc="7DF6CF4A">
      <w:start w:val="1"/>
      <w:numFmt w:val="bullet"/>
      <w:lvlText w:val=""/>
      <w:lvlJc w:val="left"/>
      <w:pPr>
        <w:ind w:left="1600" w:hanging="360"/>
      </w:pPr>
      <w:rPr>
        <w:rFonts w:ascii="Symbol" w:hAnsi="Symbol"/>
      </w:rPr>
    </w:lvl>
    <w:lvl w:ilvl="4" w:tplc="C674E63A">
      <w:start w:val="1"/>
      <w:numFmt w:val="bullet"/>
      <w:lvlText w:val="o"/>
      <w:lvlJc w:val="left"/>
      <w:pPr>
        <w:ind w:left="2000" w:hanging="360"/>
      </w:pPr>
      <w:rPr>
        <w:rFonts w:ascii="Courier New" w:hAnsi="Courier New"/>
      </w:rPr>
    </w:lvl>
    <w:lvl w:ilvl="5" w:tplc="C99E52BA">
      <w:start w:val="1"/>
      <w:numFmt w:val="bullet"/>
      <w:lvlText w:val=""/>
      <w:lvlJc w:val="left"/>
      <w:pPr>
        <w:ind w:left="2400" w:hanging="360"/>
      </w:pPr>
      <w:rPr>
        <w:rFonts w:ascii="Wingdings" w:hAnsi="Wingdings"/>
      </w:rPr>
    </w:lvl>
    <w:lvl w:ilvl="6" w:tplc="1E2E41E4">
      <w:start w:val="1"/>
      <w:numFmt w:val="bullet"/>
      <w:lvlText w:val=""/>
      <w:lvlJc w:val="left"/>
      <w:pPr>
        <w:ind w:left="2800" w:hanging="360"/>
      </w:pPr>
      <w:rPr>
        <w:rFonts w:ascii="Symbol" w:hAnsi="Symbol"/>
      </w:rPr>
    </w:lvl>
    <w:lvl w:ilvl="7" w:tplc="51301D56">
      <w:start w:val="1"/>
      <w:numFmt w:val="bullet"/>
      <w:lvlText w:val="o"/>
      <w:lvlJc w:val="left"/>
      <w:pPr>
        <w:ind w:left="3200" w:hanging="360"/>
      </w:pPr>
      <w:rPr>
        <w:rFonts w:ascii="Courier New" w:hAnsi="Courier New"/>
      </w:rPr>
    </w:lvl>
    <w:lvl w:ilvl="8" w:tplc="C26A0AD2">
      <w:numFmt w:val="decimal"/>
      <w:lvlText w:val=""/>
      <w:lvlJc w:val="left"/>
    </w:lvl>
  </w:abstractNum>
  <w:abstractNum w:abstractNumId="8" w15:restartNumberingAfterBreak="0">
    <w:nsid w:val="2ACA51E6"/>
    <w:multiLevelType w:val="hybridMultilevel"/>
    <w:tmpl w:val="437EB296"/>
    <w:lvl w:ilvl="0" w:tplc="C5444F02">
      <w:start w:val="1"/>
      <w:numFmt w:val="decimal"/>
      <w:lvlText w:val="%1."/>
      <w:lvlJc w:val="left"/>
      <w:pPr>
        <w:ind w:left="400" w:hanging="360"/>
      </w:pPr>
    </w:lvl>
    <w:lvl w:ilvl="1" w:tplc="8EE68A92">
      <w:start w:val="1"/>
      <w:numFmt w:val="lowerLetter"/>
      <w:lvlText w:val="%2."/>
      <w:lvlJc w:val="left"/>
      <w:pPr>
        <w:ind w:left="800" w:hanging="360"/>
      </w:pPr>
    </w:lvl>
    <w:lvl w:ilvl="2" w:tplc="81A2934C">
      <w:start w:val="1"/>
      <w:numFmt w:val="lowerRoman"/>
      <w:lvlText w:val="%3."/>
      <w:lvlJc w:val="right"/>
      <w:pPr>
        <w:ind w:left="1200" w:hanging="180"/>
      </w:pPr>
    </w:lvl>
    <w:lvl w:ilvl="3" w:tplc="789087B4">
      <w:start w:val="1"/>
      <w:numFmt w:val="decimal"/>
      <w:lvlText w:val="%4."/>
      <w:lvlJc w:val="left"/>
      <w:pPr>
        <w:ind w:left="1600" w:hanging="360"/>
      </w:pPr>
    </w:lvl>
    <w:lvl w:ilvl="4" w:tplc="76506E7C">
      <w:start w:val="1"/>
      <w:numFmt w:val="lowerLetter"/>
      <w:lvlText w:val="%5."/>
      <w:lvlJc w:val="left"/>
      <w:pPr>
        <w:ind w:left="2000" w:hanging="360"/>
      </w:pPr>
    </w:lvl>
    <w:lvl w:ilvl="5" w:tplc="FFDAD5DC">
      <w:start w:val="1"/>
      <w:numFmt w:val="lowerRoman"/>
      <w:lvlText w:val="%6."/>
      <w:lvlJc w:val="right"/>
      <w:pPr>
        <w:ind w:left="2400" w:hanging="180"/>
      </w:pPr>
    </w:lvl>
    <w:lvl w:ilvl="6" w:tplc="D71A948A">
      <w:start w:val="1"/>
      <w:numFmt w:val="decimal"/>
      <w:lvlText w:val="%7."/>
      <w:lvlJc w:val="left"/>
      <w:pPr>
        <w:ind w:left="2800" w:hanging="360"/>
      </w:pPr>
    </w:lvl>
    <w:lvl w:ilvl="7" w:tplc="0584E738">
      <w:start w:val="1"/>
      <w:numFmt w:val="lowerLetter"/>
      <w:lvlText w:val="%8."/>
      <w:lvlJc w:val="left"/>
      <w:pPr>
        <w:ind w:left="3200" w:hanging="360"/>
      </w:pPr>
    </w:lvl>
    <w:lvl w:ilvl="8" w:tplc="F38A788A">
      <w:numFmt w:val="decimal"/>
      <w:lvlText w:val=""/>
      <w:lvlJc w:val="left"/>
    </w:lvl>
  </w:abstractNum>
  <w:abstractNum w:abstractNumId="9" w15:restartNumberingAfterBreak="0">
    <w:nsid w:val="2CB31D38"/>
    <w:multiLevelType w:val="hybridMultilevel"/>
    <w:tmpl w:val="271A93A8"/>
    <w:lvl w:ilvl="0" w:tplc="25160F54">
      <w:start w:val="1"/>
      <w:numFmt w:val="bullet"/>
      <w:lvlText w:val=""/>
      <w:lvlJc w:val="left"/>
      <w:pPr>
        <w:ind w:left="400" w:hanging="360"/>
      </w:pPr>
      <w:rPr>
        <w:rFonts w:ascii="Symbol" w:hAnsi="Symbol"/>
      </w:rPr>
    </w:lvl>
    <w:lvl w:ilvl="1" w:tplc="61628126">
      <w:start w:val="1"/>
      <w:numFmt w:val="bullet"/>
      <w:lvlText w:val="o"/>
      <w:lvlJc w:val="left"/>
      <w:pPr>
        <w:ind w:left="800" w:hanging="360"/>
      </w:pPr>
      <w:rPr>
        <w:rFonts w:ascii="Courier New" w:hAnsi="Courier New"/>
      </w:rPr>
    </w:lvl>
    <w:lvl w:ilvl="2" w:tplc="10969214">
      <w:start w:val="1"/>
      <w:numFmt w:val="bullet"/>
      <w:lvlText w:val=""/>
      <w:lvlJc w:val="left"/>
      <w:pPr>
        <w:ind w:left="1200" w:hanging="360"/>
      </w:pPr>
      <w:rPr>
        <w:rFonts w:ascii="Wingdings" w:hAnsi="Wingdings"/>
      </w:rPr>
    </w:lvl>
    <w:lvl w:ilvl="3" w:tplc="B2A84FA2">
      <w:start w:val="1"/>
      <w:numFmt w:val="bullet"/>
      <w:lvlText w:val=""/>
      <w:lvlJc w:val="left"/>
      <w:pPr>
        <w:ind w:left="1600" w:hanging="360"/>
      </w:pPr>
      <w:rPr>
        <w:rFonts w:ascii="Symbol" w:hAnsi="Symbol"/>
      </w:rPr>
    </w:lvl>
    <w:lvl w:ilvl="4" w:tplc="4B1CDD56">
      <w:start w:val="1"/>
      <w:numFmt w:val="bullet"/>
      <w:lvlText w:val="o"/>
      <w:lvlJc w:val="left"/>
      <w:pPr>
        <w:ind w:left="2000" w:hanging="360"/>
      </w:pPr>
      <w:rPr>
        <w:rFonts w:ascii="Courier New" w:hAnsi="Courier New"/>
      </w:rPr>
    </w:lvl>
    <w:lvl w:ilvl="5" w:tplc="C8E6CC0A">
      <w:start w:val="1"/>
      <w:numFmt w:val="bullet"/>
      <w:lvlText w:val=""/>
      <w:lvlJc w:val="left"/>
      <w:pPr>
        <w:ind w:left="2400" w:hanging="360"/>
      </w:pPr>
      <w:rPr>
        <w:rFonts w:ascii="Wingdings" w:hAnsi="Wingdings"/>
      </w:rPr>
    </w:lvl>
    <w:lvl w:ilvl="6" w:tplc="2304AF02">
      <w:start w:val="1"/>
      <w:numFmt w:val="bullet"/>
      <w:lvlText w:val=""/>
      <w:lvlJc w:val="left"/>
      <w:pPr>
        <w:ind w:left="2800" w:hanging="360"/>
      </w:pPr>
      <w:rPr>
        <w:rFonts w:ascii="Symbol" w:hAnsi="Symbol"/>
      </w:rPr>
    </w:lvl>
    <w:lvl w:ilvl="7" w:tplc="54EE8A1E">
      <w:start w:val="1"/>
      <w:numFmt w:val="bullet"/>
      <w:lvlText w:val="o"/>
      <w:lvlJc w:val="left"/>
      <w:pPr>
        <w:ind w:left="3200" w:hanging="360"/>
      </w:pPr>
      <w:rPr>
        <w:rFonts w:ascii="Courier New" w:hAnsi="Courier New"/>
      </w:rPr>
    </w:lvl>
    <w:lvl w:ilvl="8" w:tplc="25EE6308">
      <w:numFmt w:val="decimal"/>
      <w:lvlText w:val=""/>
      <w:lvlJc w:val="left"/>
    </w:lvl>
  </w:abstractNum>
  <w:abstractNum w:abstractNumId="10" w15:restartNumberingAfterBreak="0">
    <w:nsid w:val="301A16CC"/>
    <w:multiLevelType w:val="hybridMultilevel"/>
    <w:tmpl w:val="ABE63A40"/>
    <w:lvl w:ilvl="0" w:tplc="20280F88">
      <w:start w:val="1"/>
      <w:numFmt w:val="bullet"/>
      <w:lvlText w:val=""/>
      <w:lvlJc w:val="left"/>
      <w:pPr>
        <w:ind w:left="400" w:hanging="360"/>
      </w:pPr>
      <w:rPr>
        <w:rFonts w:ascii="Symbol" w:hAnsi="Symbol"/>
      </w:rPr>
    </w:lvl>
    <w:lvl w:ilvl="1" w:tplc="1688CA56">
      <w:start w:val="1"/>
      <w:numFmt w:val="bullet"/>
      <w:lvlText w:val="o"/>
      <w:lvlJc w:val="left"/>
      <w:pPr>
        <w:ind w:left="800" w:hanging="360"/>
      </w:pPr>
      <w:rPr>
        <w:rFonts w:ascii="Courier New" w:hAnsi="Courier New"/>
      </w:rPr>
    </w:lvl>
    <w:lvl w:ilvl="2" w:tplc="BDE6BB2C">
      <w:start w:val="1"/>
      <w:numFmt w:val="bullet"/>
      <w:lvlText w:val=""/>
      <w:lvlJc w:val="left"/>
      <w:pPr>
        <w:ind w:left="1200" w:hanging="360"/>
      </w:pPr>
      <w:rPr>
        <w:rFonts w:ascii="Wingdings" w:hAnsi="Wingdings"/>
      </w:rPr>
    </w:lvl>
    <w:lvl w:ilvl="3" w:tplc="114A8866">
      <w:start w:val="1"/>
      <w:numFmt w:val="bullet"/>
      <w:lvlText w:val=""/>
      <w:lvlJc w:val="left"/>
      <w:pPr>
        <w:ind w:left="1600" w:hanging="360"/>
      </w:pPr>
      <w:rPr>
        <w:rFonts w:ascii="Symbol" w:hAnsi="Symbol"/>
      </w:rPr>
    </w:lvl>
    <w:lvl w:ilvl="4" w:tplc="218A17F0">
      <w:start w:val="1"/>
      <w:numFmt w:val="bullet"/>
      <w:lvlText w:val="o"/>
      <w:lvlJc w:val="left"/>
      <w:pPr>
        <w:ind w:left="2000" w:hanging="360"/>
      </w:pPr>
      <w:rPr>
        <w:rFonts w:ascii="Courier New" w:hAnsi="Courier New"/>
      </w:rPr>
    </w:lvl>
    <w:lvl w:ilvl="5" w:tplc="D67A8DB8">
      <w:start w:val="1"/>
      <w:numFmt w:val="bullet"/>
      <w:lvlText w:val=""/>
      <w:lvlJc w:val="left"/>
      <w:pPr>
        <w:ind w:left="2400" w:hanging="360"/>
      </w:pPr>
      <w:rPr>
        <w:rFonts w:ascii="Wingdings" w:hAnsi="Wingdings"/>
      </w:rPr>
    </w:lvl>
    <w:lvl w:ilvl="6" w:tplc="3D3CA588">
      <w:start w:val="1"/>
      <w:numFmt w:val="bullet"/>
      <w:lvlText w:val=""/>
      <w:lvlJc w:val="left"/>
      <w:pPr>
        <w:ind w:left="2800" w:hanging="360"/>
      </w:pPr>
      <w:rPr>
        <w:rFonts w:ascii="Symbol" w:hAnsi="Symbol"/>
      </w:rPr>
    </w:lvl>
    <w:lvl w:ilvl="7" w:tplc="CD94580A">
      <w:start w:val="1"/>
      <w:numFmt w:val="bullet"/>
      <w:lvlText w:val="o"/>
      <w:lvlJc w:val="left"/>
      <w:pPr>
        <w:ind w:left="3200" w:hanging="360"/>
      </w:pPr>
      <w:rPr>
        <w:rFonts w:ascii="Courier New" w:hAnsi="Courier New"/>
      </w:rPr>
    </w:lvl>
    <w:lvl w:ilvl="8" w:tplc="D9425F96">
      <w:numFmt w:val="decimal"/>
      <w:lvlText w:val=""/>
      <w:lvlJc w:val="left"/>
    </w:lvl>
  </w:abstractNum>
  <w:abstractNum w:abstractNumId="11" w15:restartNumberingAfterBreak="0">
    <w:nsid w:val="36784941"/>
    <w:multiLevelType w:val="hybridMultilevel"/>
    <w:tmpl w:val="FDD2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13" w15:restartNumberingAfterBreak="0">
    <w:nsid w:val="4FB47382"/>
    <w:multiLevelType w:val="hybridMultilevel"/>
    <w:tmpl w:val="2DEAD502"/>
    <w:lvl w:ilvl="0" w:tplc="3A3A559C">
      <w:start w:val="1"/>
      <w:numFmt w:val="bullet"/>
      <w:lvlText w:val=""/>
      <w:lvlJc w:val="left"/>
      <w:pPr>
        <w:ind w:left="400" w:hanging="360"/>
      </w:pPr>
      <w:rPr>
        <w:rFonts w:ascii="Symbol" w:hAnsi="Symbol"/>
      </w:rPr>
    </w:lvl>
    <w:lvl w:ilvl="1" w:tplc="A7CE3748">
      <w:start w:val="1"/>
      <w:numFmt w:val="bullet"/>
      <w:lvlText w:val="o"/>
      <w:lvlJc w:val="left"/>
      <w:pPr>
        <w:ind w:left="800" w:hanging="360"/>
      </w:pPr>
      <w:rPr>
        <w:rFonts w:ascii="Courier New" w:hAnsi="Courier New"/>
      </w:rPr>
    </w:lvl>
    <w:lvl w:ilvl="2" w:tplc="523E9F22">
      <w:start w:val="1"/>
      <w:numFmt w:val="bullet"/>
      <w:lvlText w:val=""/>
      <w:lvlJc w:val="left"/>
      <w:pPr>
        <w:ind w:left="1200" w:hanging="360"/>
      </w:pPr>
      <w:rPr>
        <w:rFonts w:ascii="Wingdings" w:hAnsi="Wingdings"/>
      </w:rPr>
    </w:lvl>
    <w:lvl w:ilvl="3" w:tplc="530A06A2">
      <w:start w:val="1"/>
      <w:numFmt w:val="bullet"/>
      <w:lvlText w:val=""/>
      <w:lvlJc w:val="left"/>
      <w:pPr>
        <w:ind w:left="1600" w:hanging="360"/>
      </w:pPr>
      <w:rPr>
        <w:rFonts w:ascii="Symbol" w:hAnsi="Symbol"/>
      </w:rPr>
    </w:lvl>
    <w:lvl w:ilvl="4" w:tplc="AFE8EC64">
      <w:start w:val="1"/>
      <w:numFmt w:val="bullet"/>
      <w:lvlText w:val="o"/>
      <w:lvlJc w:val="left"/>
      <w:pPr>
        <w:ind w:left="2000" w:hanging="360"/>
      </w:pPr>
      <w:rPr>
        <w:rFonts w:ascii="Courier New" w:hAnsi="Courier New"/>
      </w:rPr>
    </w:lvl>
    <w:lvl w:ilvl="5" w:tplc="407A0D48">
      <w:start w:val="1"/>
      <w:numFmt w:val="bullet"/>
      <w:lvlText w:val=""/>
      <w:lvlJc w:val="left"/>
      <w:pPr>
        <w:ind w:left="2400" w:hanging="360"/>
      </w:pPr>
      <w:rPr>
        <w:rFonts w:ascii="Wingdings" w:hAnsi="Wingdings"/>
      </w:rPr>
    </w:lvl>
    <w:lvl w:ilvl="6" w:tplc="EDE85EB2">
      <w:start w:val="1"/>
      <w:numFmt w:val="bullet"/>
      <w:lvlText w:val=""/>
      <w:lvlJc w:val="left"/>
      <w:pPr>
        <w:ind w:left="2800" w:hanging="360"/>
      </w:pPr>
      <w:rPr>
        <w:rFonts w:ascii="Symbol" w:hAnsi="Symbol"/>
      </w:rPr>
    </w:lvl>
    <w:lvl w:ilvl="7" w:tplc="46FE0A2E">
      <w:start w:val="1"/>
      <w:numFmt w:val="bullet"/>
      <w:lvlText w:val="o"/>
      <w:lvlJc w:val="left"/>
      <w:pPr>
        <w:ind w:left="3200" w:hanging="360"/>
      </w:pPr>
      <w:rPr>
        <w:rFonts w:ascii="Courier New" w:hAnsi="Courier New"/>
      </w:rPr>
    </w:lvl>
    <w:lvl w:ilvl="8" w:tplc="C6C63BFC">
      <w:numFmt w:val="decimal"/>
      <w:lvlText w:val=""/>
      <w:lvlJc w:val="left"/>
    </w:lvl>
  </w:abstractNum>
  <w:abstractNum w:abstractNumId="14" w15:restartNumberingAfterBreak="0">
    <w:nsid w:val="5CE332A0"/>
    <w:multiLevelType w:val="hybridMultilevel"/>
    <w:tmpl w:val="B02C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146453"/>
    <w:multiLevelType w:val="hybridMultilevel"/>
    <w:tmpl w:val="1D580C04"/>
    <w:lvl w:ilvl="0" w:tplc="71DEDBA0">
      <w:start w:val="1"/>
      <w:numFmt w:val="decimal"/>
      <w:lvlText w:val="%1."/>
      <w:lvlJc w:val="left"/>
      <w:pPr>
        <w:ind w:left="400" w:hanging="360"/>
      </w:pPr>
    </w:lvl>
    <w:lvl w:ilvl="1" w:tplc="46DE2DDA">
      <w:start w:val="1"/>
      <w:numFmt w:val="lowerLetter"/>
      <w:lvlText w:val="%2."/>
      <w:lvlJc w:val="left"/>
      <w:pPr>
        <w:ind w:left="800" w:hanging="360"/>
      </w:pPr>
    </w:lvl>
    <w:lvl w:ilvl="2" w:tplc="8CFE4E68">
      <w:start w:val="1"/>
      <w:numFmt w:val="lowerRoman"/>
      <w:lvlText w:val="%3."/>
      <w:lvlJc w:val="right"/>
      <w:pPr>
        <w:ind w:left="1200" w:hanging="180"/>
      </w:pPr>
    </w:lvl>
    <w:lvl w:ilvl="3" w:tplc="62163F4C">
      <w:start w:val="1"/>
      <w:numFmt w:val="decimal"/>
      <w:lvlText w:val="%4."/>
      <w:lvlJc w:val="left"/>
      <w:pPr>
        <w:ind w:left="1600" w:hanging="360"/>
      </w:pPr>
    </w:lvl>
    <w:lvl w:ilvl="4" w:tplc="DA069588">
      <w:start w:val="1"/>
      <w:numFmt w:val="lowerLetter"/>
      <w:lvlText w:val="%5."/>
      <w:lvlJc w:val="left"/>
      <w:pPr>
        <w:ind w:left="2000" w:hanging="360"/>
      </w:pPr>
    </w:lvl>
    <w:lvl w:ilvl="5" w:tplc="0CAA16CE">
      <w:start w:val="1"/>
      <w:numFmt w:val="lowerRoman"/>
      <w:lvlText w:val="%6."/>
      <w:lvlJc w:val="right"/>
      <w:pPr>
        <w:ind w:left="2400" w:hanging="180"/>
      </w:pPr>
    </w:lvl>
    <w:lvl w:ilvl="6" w:tplc="5B703330">
      <w:start w:val="1"/>
      <w:numFmt w:val="decimal"/>
      <w:lvlText w:val="%7."/>
      <w:lvlJc w:val="left"/>
      <w:pPr>
        <w:ind w:left="2800" w:hanging="360"/>
      </w:pPr>
    </w:lvl>
    <w:lvl w:ilvl="7" w:tplc="04684BE0">
      <w:start w:val="1"/>
      <w:numFmt w:val="lowerLetter"/>
      <w:lvlText w:val="%8."/>
      <w:lvlJc w:val="left"/>
      <w:pPr>
        <w:ind w:left="3200" w:hanging="360"/>
      </w:pPr>
    </w:lvl>
    <w:lvl w:ilvl="8" w:tplc="427AC400">
      <w:numFmt w:val="decimal"/>
      <w:lvlText w:val=""/>
      <w:lvlJc w:val="left"/>
    </w:lvl>
  </w:abstractNum>
  <w:abstractNum w:abstractNumId="16" w15:restartNumberingAfterBreak="0">
    <w:nsid w:val="6CC46F04"/>
    <w:multiLevelType w:val="hybridMultilevel"/>
    <w:tmpl w:val="60D081B6"/>
    <w:lvl w:ilvl="0" w:tplc="BB0E9A6C">
      <w:start w:val="1"/>
      <w:numFmt w:val="bullet"/>
      <w:lvlText w:val=""/>
      <w:lvlJc w:val="left"/>
      <w:pPr>
        <w:ind w:left="400" w:hanging="360"/>
      </w:pPr>
      <w:rPr>
        <w:rFonts w:ascii="Symbol" w:hAnsi="Symbol"/>
      </w:rPr>
    </w:lvl>
    <w:lvl w:ilvl="1" w:tplc="A5DC6B68">
      <w:start w:val="1"/>
      <w:numFmt w:val="bullet"/>
      <w:lvlText w:val="o"/>
      <w:lvlJc w:val="left"/>
      <w:pPr>
        <w:ind w:left="800" w:hanging="360"/>
      </w:pPr>
      <w:rPr>
        <w:rFonts w:ascii="Courier New" w:hAnsi="Courier New"/>
      </w:rPr>
    </w:lvl>
    <w:lvl w:ilvl="2" w:tplc="E788DDF8">
      <w:start w:val="1"/>
      <w:numFmt w:val="bullet"/>
      <w:lvlText w:val=""/>
      <w:lvlJc w:val="left"/>
      <w:pPr>
        <w:ind w:left="1200" w:hanging="360"/>
      </w:pPr>
      <w:rPr>
        <w:rFonts w:ascii="Wingdings" w:hAnsi="Wingdings"/>
      </w:rPr>
    </w:lvl>
    <w:lvl w:ilvl="3" w:tplc="0B4A9346">
      <w:start w:val="1"/>
      <w:numFmt w:val="bullet"/>
      <w:lvlText w:val=""/>
      <w:lvlJc w:val="left"/>
      <w:pPr>
        <w:ind w:left="1600" w:hanging="360"/>
      </w:pPr>
      <w:rPr>
        <w:rFonts w:ascii="Symbol" w:hAnsi="Symbol"/>
      </w:rPr>
    </w:lvl>
    <w:lvl w:ilvl="4" w:tplc="4D5639AC">
      <w:start w:val="1"/>
      <w:numFmt w:val="bullet"/>
      <w:lvlText w:val="o"/>
      <w:lvlJc w:val="left"/>
      <w:pPr>
        <w:ind w:left="2000" w:hanging="360"/>
      </w:pPr>
      <w:rPr>
        <w:rFonts w:ascii="Courier New" w:hAnsi="Courier New"/>
      </w:rPr>
    </w:lvl>
    <w:lvl w:ilvl="5" w:tplc="FAE2708E">
      <w:start w:val="1"/>
      <w:numFmt w:val="bullet"/>
      <w:lvlText w:val=""/>
      <w:lvlJc w:val="left"/>
      <w:pPr>
        <w:ind w:left="2400" w:hanging="360"/>
      </w:pPr>
      <w:rPr>
        <w:rFonts w:ascii="Wingdings" w:hAnsi="Wingdings"/>
      </w:rPr>
    </w:lvl>
    <w:lvl w:ilvl="6" w:tplc="944A5654">
      <w:start w:val="1"/>
      <w:numFmt w:val="bullet"/>
      <w:lvlText w:val=""/>
      <w:lvlJc w:val="left"/>
      <w:pPr>
        <w:ind w:left="2800" w:hanging="360"/>
      </w:pPr>
      <w:rPr>
        <w:rFonts w:ascii="Symbol" w:hAnsi="Symbol"/>
      </w:rPr>
    </w:lvl>
    <w:lvl w:ilvl="7" w:tplc="6ED67B22">
      <w:start w:val="1"/>
      <w:numFmt w:val="bullet"/>
      <w:lvlText w:val="o"/>
      <w:lvlJc w:val="left"/>
      <w:pPr>
        <w:ind w:left="3200" w:hanging="360"/>
      </w:pPr>
      <w:rPr>
        <w:rFonts w:ascii="Courier New" w:hAnsi="Courier New"/>
      </w:rPr>
    </w:lvl>
    <w:lvl w:ilvl="8" w:tplc="308E464A">
      <w:numFmt w:val="decimal"/>
      <w:lvlText w:val=""/>
      <w:lvlJc w:val="left"/>
    </w:lvl>
  </w:abstractNum>
  <w:abstractNum w:abstractNumId="17" w15:restartNumberingAfterBreak="0">
    <w:nsid w:val="6DAB1804"/>
    <w:multiLevelType w:val="hybridMultilevel"/>
    <w:tmpl w:val="2F8C839C"/>
    <w:lvl w:ilvl="0" w:tplc="80B0846A">
      <w:start w:val="1"/>
      <w:numFmt w:val="bullet"/>
      <w:lvlText w:val=""/>
      <w:lvlJc w:val="left"/>
      <w:pPr>
        <w:ind w:left="400" w:hanging="360"/>
      </w:pPr>
      <w:rPr>
        <w:rFonts w:ascii="Symbol" w:hAnsi="Symbol"/>
      </w:rPr>
    </w:lvl>
    <w:lvl w:ilvl="1" w:tplc="3DD45F18">
      <w:start w:val="1"/>
      <w:numFmt w:val="bullet"/>
      <w:lvlText w:val="o"/>
      <w:lvlJc w:val="left"/>
      <w:pPr>
        <w:ind w:left="800" w:hanging="360"/>
      </w:pPr>
      <w:rPr>
        <w:rFonts w:ascii="Courier New" w:hAnsi="Courier New"/>
      </w:rPr>
    </w:lvl>
    <w:lvl w:ilvl="2" w:tplc="8C8E89DA">
      <w:start w:val="1"/>
      <w:numFmt w:val="bullet"/>
      <w:lvlText w:val=""/>
      <w:lvlJc w:val="left"/>
      <w:pPr>
        <w:ind w:left="1200" w:hanging="360"/>
      </w:pPr>
      <w:rPr>
        <w:rFonts w:ascii="Wingdings" w:hAnsi="Wingdings"/>
      </w:rPr>
    </w:lvl>
    <w:lvl w:ilvl="3" w:tplc="191A7522">
      <w:start w:val="1"/>
      <w:numFmt w:val="bullet"/>
      <w:lvlText w:val=""/>
      <w:lvlJc w:val="left"/>
      <w:pPr>
        <w:ind w:left="1600" w:hanging="360"/>
      </w:pPr>
      <w:rPr>
        <w:rFonts w:ascii="Symbol" w:hAnsi="Symbol"/>
      </w:rPr>
    </w:lvl>
    <w:lvl w:ilvl="4" w:tplc="349E237E">
      <w:start w:val="1"/>
      <w:numFmt w:val="bullet"/>
      <w:lvlText w:val="o"/>
      <w:lvlJc w:val="left"/>
      <w:pPr>
        <w:ind w:left="2000" w:hanging="360"/>
      </w:pPr>
      <w:rPr>
        <w:rFonts w:ascii="Courier New" w:hAnsi="Courier New"/>
      </w:rPr>
    </w:lvl>
    <w:lvl w:ilvl="5" w:tplc="259296EC">
      <w:start w:val="1"/>
      <w:numFmt w:val="bullet"/>
      <w:lvlText w:val=""/>
      <w:lvlJc w:val="left"/>
      <w:pPr>
        <w:ind w:left="2400" w:hanging="360"/>
      </w:pPr>
      <w:rPr>
        <w:rFonts w:ascii="Wingdings" w:hAnsi="Wingdings"/>
      </w:rPr>
    </w:lvl>
    <w:lvl w:ilvl="6" w:tplc="6AD85BCC">
      <w:start w:val="1"/>
      <w:numFmt w:val="bullet"/>
      <w:lvlText w:val=""/>
      <w:lvlJc w:val="left"/>
      <w:pPr>
        <w:ind w:left="2800" w:hanging="360"/>
      </w:pPr>
      <w:rPr>
        <w:rFonts w:ascii="Symbol" w:hAnsi="Symbol"/>
      </w:rPr>
    </w:lvl>
    <w:lvl w:ilvl="7" w:tplc="13E23AC2">
      <w:start w:val="1"/>
      <w:numFmt w:val="bullet"/>
      <w:lvlText w:val="o"/>
      <w:lvlJc w:val="left"/>
      <w:pPr>
        <w:ind w:left="3200" w:hanging="360"/>
      </w:pPr>
      <w:rPr>
        <w:rFonts w:ascii="Courier New" w:hAnsi="Courier New"/>
      </w:rPr>
    </w:lvl>
    <w:lvl w:ilvl="8" w:tplc="9C0C24D8">
      <w:numFmt w:val="decimal"/>
      <w:lvlText w:val=""/>
      <w:lvlJc w:val="left"/>
    </w:lvl>
  </w:abstractNum>
  <w:abstractNum w:abstractNumId="18" w15:restartNumberingAfterBreak="0">
    <w:nsid w:val="76777EB5"/>
    <w:multiLevelType w:val="hybridMultilevel"/>
    <w:tmpl w:val="B8785866"/>
    <w:lvl w:ilvl="0" w:tplc="EAA8C840">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0152420">
    <w:abstractNumId w:val="10"/>
  </w:num>
  <w:num w:numId="2" w16cid:durableId="2051565452">
    <w:abstractNumId w:val="15"/>
  </w:num>
  <w:num w:numId="3" w16cid:durableId="1987734850">
    <w:abstractNumId w:val="0"/>
  </w:num>
  <w:num w:numId="4" w16cid:durableId="866215214">
    <w:abstractNumId w:val="8"/>
  </w:num>
  <w:num w:numId="5" w16cid:durableId="891041047">
    <w:abstractNumId w:val="13"/>
  </w:num>
  <w:num w:numId="6" w16cid:durableId="1068846784">
    <w:abstractNumId w:val="7"/>
  </w:num>
  <w:num w:numId="7" w16cid:durableId="845286921">
    <w:abstractNumId w:val="3"/>
  </w:num>
  <w:num w:numId="8" w16cid:durableId="15542476">
    <w:abstractNumId w:val="17"/>
  </w:num>
  <w:num w:numId="9" w16cid:durableId="785732093">
    <w:abstractNumId w:val="9"/>
  </w:num>
  <w:num w:numId="10" w16cid:durableId="1459185145">
    <w:abstractNumId w:val="16"/>
  </w:num>
  <w:num w:numId="11" w16cid:durableId="551163156">
    <w:abstractNumId w:val="14"/>
  </w:num>
  <w:num w:numId="12" w16cid:durableId="772819396">
    <w:abstractNumId w:val="11"/>
  </w:num>
  <w:num w:numId="13" w16cid:durableId="1658536161">
    <w:abstractNumId w:val="12"/>
  </w:num>
  <w:num w:numId="14" w16cid:durableId="28917186">
    <w:abstractNumId w:val="18"/>
  </w:num>
  <w:num w:numId="15" w16cid:durableId="194346410">
    <w:abstractNumId w:val="4"/>
  </w:num>
  <w:num w:numId="16" w16cid:durableId="317811022">
    <w:abstractNumId w:val="5"/>
  </w:num>
  <w:num w:numId="17" w16cid:durableId="882912514">
    <w:abstractNumId w:val="6"/>
  </w:num>
  <w:num w:numId="18" w16cid:durableId="768963992">
    <w:abstractNumId w:val="1"/>
  </w:num>
  <w:num w:numId="19" w16cid:durableId="15711608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61F5C"/>
    <w:rsid w:val="001506A1"/>
    <w:rsid w:val="001C439B"/>
    <w:rsid w:val="00331991"/>
    <w:rsid w:val="00340BD1"/>
    <w:rsid w:val="00461F5C"/>
    <w:rsid w:val="005169E7"/>
    <w:rsid w:val="006250E2"/>
    <w:rsid w:val="00635BAF"/>
    <w:rsid w:val="00797EF2"/>
    <w:rsid w:val="00CE1939"/>
    <w:rsid w:val="00FA4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61A194"/>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991"/>
    <w:pPr>
      <w:ind w:left="720"/>
      <w:contextualSpacing/>
    </w:pPr>
  </w:style>
  <w:style w:type="table" w:styleId="TableGrid">
    <w:name w:val="Table Grid"/>
    <w:basedOn w:val="TableNormal"/>
    <w:uiPriority w:val="39"/>
    <w:rsid w:val="00331991"/>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331991"/>
    <w:rPr>
      <w:rFonts w:ascii="Bodoni 72 Book" w:eastAsiaTheme="minorHAnsi" w:hAnsi="Bodoni 72 Book"/>
      <w:kern w:val="0"/>
      <w:sz w:val="20"/>
      <w:szCs w:val="20"/>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331991"/>
    <w:rPr>
      <w:rFonts w:ascii="Bodoni 72 Book" w:eastAsiaTheme="minorHAnsi" w:hAnsi="Bodoni 72 Book"/>
      <w:kern w:val="0"/>
      <w:sz w:val="20"/>
      <w:szCs w:val="20"/>
      <w:lang w:val="en-GB"/>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331991"/>
    <w:rPr>
      <w:vertAlign w:val="superscript"/>
    </w:rPr>
  </w:style>
  <w:style w:type="paragraph" w:styleId="Header">
    <w:name w:val="header"/>
    <w:basedOn w:val="Normal"/>
    <w:link w:val="HeaderChar"/>
    <w:uiPriority w:val="99"/>
    <w:unhideWhenUsed/>
    <w:rsid w:val="00331991"/>
    <w:pPr>
      <w:tabs>
        <w:tab w:val="center" w:pos="4680"/>
        <w:tab w:val="right" w:pos="9360"/>
      </w:tabs>
    </w:pPr>
  </w:style>
  <w:style w:type="character" w:customStyle="1" w:styleId="HeaderChar">
    <w:name w:val="Header Char"/>
    <w:basedOn w:val="DefaultParagraphFont"/>
    <w:link w:val="Header"/>
    <w:uiPriority w:val="99"/>
    <w:rsid w:val="00331991"/>
  </w:style>
  <w:style w:type="paragraph" w:styleId="Footer">
    <w:name w:val="footer"/>
    <w:basedOn w:val="Normal"/>
    <w:link w:val="FooterChar"/>
    <w:uiPriority w:val="99"/>
    <w:unhideWhenUsed/>
    <w:rsid w:val="00331991"/>
    <w:pPr>
      <w:tabs>
        <w:tab w:val="center" w:pos="4680"/>
        <w:tab w:val="right" w:pos="9360"/>
      </w:tabs>
    </w:pPr>
  </w:style>
  <w:style w:type="character" w:customStyle="1" w:styleId="FooterChar">
    <w:name w:val="Footer Char"/>
    <w:basedOn w:val="DefaultParagraphFont"/>
    <w:link w:val="Footer"/>
    <w:uiPriority w:val="99"/>
    <w:rsid w:val="00331991"/>
  </w:style>
  <w:style w:type="table" w:styleId="GridTable1Light">
    <w:name w:val="Grid Table 1 Light"/>
    <w:basedOn w:val="TableNormal"/>
    <w:uiPriority w:val="46"/>
    <w:rsid w:val="00FA49D6"/>
    <w:rPr>
      <w:rFonts w:eastAsiaTheme="minorHAnsi"/>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1331</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6</cp:revision>
  <dcterms:created xsi:type="dcterms:W3CDTF">2024-05-31T18:53:00Z</dcterms:created>
  <dcterms:modified xsi:type="dcterms:W3CDTF">2024-06-02T22:53:00Z</dcterms:modified>
</cp:coreProperties>
</file>