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4B9BB" w14:textId="60870168" w:rsidR="00ED7BA2" w:rsidRDefault="00AD2398">
      <w:pPr>
        <w:spacing w:before="120" w:after="120"/>
        <w:jc w:val="center"/>
      </w:pPr>
      <w:r>
        <w:rPr>
          <w:noProof/>
        </w:rPr>
        <w:drawing>
          <wp:anchor distT="0" distB="0" distL="114300" distR="114300" simplePos="0" relativeHeight="251671552" behindDoc="0" locked="0" layoutInCell="1" allowOverlap="1" wp14:anchorId="1D44780F" wp14:editId="2CDEF962">
            <wp:simplePos x="0" y="0"/>
            <wp:positionH relativeFrom="page">
              <wp:posOffset>0</wp:posOffset>
            </wp:positionH>
            <wp:positionV relativeFrom="paragraph">
              <wp:posOffset>-43542</wp:posOffset>
            </wp:positionV>
            <wp:extent cx="7562850" cy="2268855"/>
            <wp:effectExtent l="0" t="0" r="0" b="0"/>
            <wp:wrapTopAndBottom/>
            <wp:docPr id="32" name="Drawing 0" descr="eaed94c7e58e49e9f934f6bd14339c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aed94c7e58e49e9f934f6bd14339c78.png"/>
                    <pic:cNvPicPr>
                      <a:picLocks noChangeAspect="1"/>
                    </pic:cNvPicPr>
                  </pic:nvPicPr>
                  <pic:blipFill>
                    <a:blip r:embed="rId8"/>
                    <a:stretch>
                      <a:fillRect/>
                    </a:stretch>
                  </pic:blipFill>
                  <pic:spPr>
                    <a:xfrm>
                      <a:off x="0" y="0"/>
                      <a:ext cx="7562850" cy="2268855"/>
                    </a:xfrm>
                    <a:prstGeom prst="rect">
                      <a:avLst/>
                    </a:prstGeom>
                  </pic:spPr>
                </pic:pic>
              </a:graphicData>
            </a:graphic>
          </wp:anchor>
        </w:drawing>
      </w:r>
    </w:p>
    <w:p w14:paraId="09E61AD8" w14:textId="77777777" w:rsidR="00ED7BA2" w:rsidRPr="00031D7C" w:rsidRDefault="00000000">
      <w:pPr>
        <w:spacing w:before="120" w:after="120" w:line="336" w:lineRule="auto"/>
        <w:rPr>
          <w:rFonts w:ascii="Bodoni 72 Book" w:hAnsi="Bodoni 72 Book"/>
        </w:rPr>
      </w:pPr>
      <w:r w:rsidRPr="00031D7C">
        <w:rPr>
          <w:rFonts w:ascii="Bodoni 72 Book" w:eastAsia="Prata" w:hAnsi="Bodoni 72 Book" w:cs="Prata"/>
          <w:color w:val="00646A"/>
          <w:sz w:val="64"/>
          <w:szCs w:val="64"/>
        </w:rPr>
        <w:t xml:space="preserve">Key Considerations  </w:t>
      </w:r>
    </w:p>
    <w:p w14:paraId="5BA09720" w14:textId="77777777" w:rsidR="00ED7BA2" w:rsidRDefault="00ED7BA2">
      <w:pPr>
        <w:pBdr>
          <w:bottom w:val="single" w:sz="6" w:space="0" w:color="076C72"/>
        </w:pBdr>
        <w:spacing w:before="120" w:after="120" w:line="0" w:lineRule="auto"/>
      </w:pPr>
    </w:p>
    <w:p w14:paraId="3AD28B7B" w14:textId="6615F5E4" w:rsidR="00ED7BA2" w:rsidRPr="00031D7C" w:rsidRDefault="00000000">
      <w:pPr>
        <w:spacing w:before="120" w:after="120" w:line="336" w:lineRule="auto"/>
        <w:rPr>
          <w:rFonts w:ascii="Avenir Next" w:hAnsi="Avenir Next"/>
          <w:sz w:val="20"/>
          <w:szCs w:val="20"/>
        </w:rPr>
      </w:pPr>
      <w:r w:rsidRPr="00031D7C">
        <w:rPr>
          <w:rFonts w:ascii="Avenir Next" w:eastAsia="Montserrat" w:hAnsi="Avenir Next" w:cs="Montserrat"/>
          <w:color w:val="000000"/>
          <w:sz w:val="20"/>
          <w:szCs w:val="20"/>
        </w:rPr>
        <w:t>The development of a Safeguard Information System (SIS) is one of the three safeguard-related requirements</w:t>
      </w:r>
      <w:r w:rsidR="00031D7C">
        <w:rPr>
          <w:rStyle w:val="FootnoteReference"/>
          <w:rFonts w:ascii="Avenir Next" w:eastAsia="Montserrat" w:hAnsi="Avenir Next" w:cs="Montserrat"/>
          <w:color w:val="000000"/>
          <w:sz w:val="20"/>
          <w:szCs w:val="20"/>
        </w:rPr>
        <w:footnoteReference w:id="1"/>
      </w:r>
      <w:r w:rsidRPr="00031D7C">
        <w:rPr>
          <w:rFonts w:ascii="Avenir Next" w:eastAsia="Montserrat" w:hAnsi="Avenir Next" w:cs="Montserrat"/>
          <w:color w:val="000000"/>
          <w:sz w:val="20"/>
          <w:szCs w:val="20"/>
        </w:rPr>
        <w:t xml:space="preserve"> outlined by the UNFCCC and is linked to the delivery of results-based payments</w:t>
      </w:r>
      <w:r w:rsidR="00031D7C">
        <w:rPr>
          <w:rStyle w:val="FootnoteReference"/>
          <w:rFonts w:ascii="Avenir Next" w:eastAsia="Montserrat" w:hAnsi="Avenir Next" w:cs="Montserrat"/>
          <w:color w:val="000000"/>
          <w:sz w:val="20"/>
          <w:szCs w:val="20"/>
        </w:rPr>
        <w:footnoteReference w:id="2"/>
      </w:r>
      <w:r w:rsidRPr="00031D7C">
        <w:rPr>
          <w:rFonts w:ascii="Avenir Next" w:eastAsia="Montserrat" w:hAnsi="Avenir Next" w:cs="Montserrat"/>
          <w:color w:val="000000"/>
          <w:sz w:val="20"/>
          <w:szCs w:val="20"/>
        </w:rPr>
        <w:t xml:space="preserve"> from REDD+ Actions. </w:t>
      </w:r>
    </w:p>
    <w:p w14:paraId="3A3DB3E4" w14:textId="550C1651" w:rsidR="00ED7BA2" w:rsidRPr="00031D7C" w:rsidRDefault="00000000">
      <w:pPr>
        <w:spacing w:before="120" w:after="120" w:line="336" w:lineRule="auto"/>
        <w:rPr>
          <w:rFonts w:ascii="Avenir Next" w:hAnsi="Avenir Next"/>
          <w:sz w:val="20"/>
          <w:szCs w:val="20"/>
        </w:rPr>
      </w:pPr>
      <w:r w:rsidRPr="00031D7C">
        <w:rPr>
          <w:rFonts w:ascii="Avenir Next" w:eastAsia="Montserrat" w:hAnsi="Avenir Next" w:cs="Montserrat"/>
          <w:color w:val="000000"/>
          <w:sz w:val="20"/>
          <w:szCs w:val="20"/>
        </w:rPr>
        <w:t>Although there are no official guidelines on how countries are supposed to set up a system for providing information on how safeguards are addressed and respected, Parties to the UNFCCC have agreed on some broad guidance on the characteristics of a SIS. Namely, it should</w:t>
      </w:r>
      <w:r w:rsidR="00031D7C">
        <w:rPr>
          <w:rStyle w:val="FootnoteReference"/>
          <w:rFonts w:ascii="Avenir Next" w:eastAsia="Montserrat" w:hAnsi="Avenir Next" w:cs="Montserrat"/>
          <w:color w:val="000000"/>
          <w:sz w:val="20"/>
          <w:szCs w:val="20"/>
        </w:rPr>
        <w:footnoteReference w:id="3"/>
      </w:r>
      <w:r w:rsidRPr="00031D7C">
        <w:rPr>
          <w:rFonts w:ascii="Avenir Next" w:eastAsia="Montserrat" w:hAnsi="Avenir Next" w:cs="Montserrat"/>
          <w:color w:val="000000"/>
          <w:sz w:val="20"/>
          <w:szCs w:val="20"/>
        </w:rPr>
        <w:t xml:space="preserve">: </w:t>
      </w:r>
    </w:p>
    <w:p w14:paraId="6C2B133C" w14:textId="77777777" w:rsidR="00ED7BA2" w:rsidRPr="00031D7C" w:rsidRDefault="00000000">
      <w:pPr>
        <w:numPr>
          <w:ilvl w:val="0"/>
          <w:numId w:val="1"/>
        </w:numPr>
        <w:spacing w:line="336" w:lineRule="auto"/>
        <w:rPr>
          <w:rFonts w:ascii="Avenir Next" w:hAnsi="Avenir Next"/>
          <w:sz w:val="20"/>
          <w:szCs w:val="20"/>
        </w:rPr>
      </w:pPr>
      <w:r w:rsidRPr="00031D7C">
        <w:rPr>
          <w:rFonts w:ascii="Avenir Next" w:eastAsia="Montserrat" w:hAnsi="Avenir Next" w:cs="Montserrat"/>
          <w:color w:val="000000"/>
          <w:sz w:val="20"/>
          <w:szCs w:val="20"/>
        </w:rPr>
        <w:t xml:space="preserve"> Be consistent with the guidance identified in decision 1/CP.16, appendix I, paragraph </w:t>
      </w:r>
      <w:proofErr w:type="gramStart"/>
      <w:r w:rsidRPr="00031D7C">
        <w:rPr>
          <w:rFonts w:ascii="Avenir Next" w:eastAsia="Montserrat" w:hAnsi="Avenir Next" w:cs="Montserrat"/>
          <w:color w:val="000000"/>
          <w:sz w:val="20"/>
          <w:szCs w:val="20"/>
        </w:rPr>
        <w:t>1;</w:t>
      </w:r>
      <w:proofErr w:type="gramEnd"/>
      <w:r w:rsidRPr="00031D7C">
        <w:rPr>
          <w:rFonts w:ascii="Avenir Next" w:eastAsia="Montserrat" w:hAnsi="Avenir Next" w:cs="Montserrat"/>
          <w:color w:val="000000"/>
          <w:sz w:val="20"/>
          <w:szCs w:val="20"/>
        </w:rPr>
        <w:t xml:space="preserve"> </w:t>
      </w:r>
    </w:p>
    <w:p w14:paraId="4B8DC3BB" w14:textId="77777777" w:rsidR="00ED7BA2" w:rsidRPr="00031D7C" w:rsidRDefault="00000000">
      <w:pPr>
        <w:numPr>
          <w:ilvl w:val="0"/>
          <w:numId w:val="1"/>
        </w:numPr>
        <w:spacing w:line="336" w:lineRule="auto"/>
        <w:rPr>
          <w:rFonts w:ascii="Avenir Next" w:hAnsi="Avenir Next"/>
          <w:sz w:val="20"/>
          <w:szCs w:val="20"/>
        </w:rPr>
      </w:pPr>
      <w:r w:rsidRPr="00031D7C">
        <w:rPr>
          <w:rFonts w:ascii="Avenir Next" w:eastAsia="Montserrat" w:hAnsi="Avenir Next" w:cs="Montserrat"/>
          <w:color w:val="000000"/>
          <w:sz w:val="20"/>
          <w:szCs w:val="20"/>
        </w:rPr>
        <w:t xml:space="preserve"> Provide transparent and consistent information that is accessible by all relevant stakeholders and updated on a regular </w:t>
      </w:r>
      <w:proofErr w:type="gramStart"/>
      <w:r w:rsidRPr="00031D7C">
        <w:rPr>
          <w:rFonts w:ascii="Avenir Next" w:eastAsia="Montserrat" w:hAnsi="Avenir Next" w:cs="Montserrat"/>
          <w:color w:val="000000"/>
          <w:sz w:val="20"/>
          <w:szCs w:val="20"/>
        </w:rPr>
        <w:t>basis;</w:t>
      </w:r>
      <w:proofErr w:type="gramEnd"/>
      <w:r w:rsidRPr="00031D7C">
        <w:rPr>
          <w:rFonts w:ascii="Avenir Next" w:eastAsia="Montserrat" w:hAnsi="Avenir Next" w:cs="Montserrat"/>
          <w:color w:val="000000"/>
          <w:sz w:val="20"/>
          <w:szCs w:val="20"/>
        </w:rPr>
        <w:t xml:space="preserve"> </w:t>
      </w:r>
    </w:p>
    <w:p w14:paraId="189ABC2C" w14:textId="77777777" w:rsidR="00ED7BA2" w:rsidRPr="00031D7C" w:rsidRDefault="00000000">
      <w:pPr>
        <w:numPr>
          <w:ilvl w:val="0"/>
          <w:numId w:val="1"/>
        </w:numPr>
        <w:spacing w:line="336" w:lineRule="auto"/>
        <w:rPr>
          <w:rFonts w:ascii="Avenir Next" w:hAnsi="Avenir Next"/>
          <w:sz w:val="20"/>
          <w:szCs w:val="20"/>
        </w:rPr>
      </w:pPr>
      <w:r w:rsidRPr="00031D7C">
        <w:rPr>
          <w:rFonts w:ascii="Avenir Next" w:eastAsia="Montserrat" w:hAnsi="Avenir Next" w:cs="Montserrat"/>
          <w:color w:val="000000"/>
          <w:sz w:val="20"/>
          <w:szCs w:val="20"/>
        </w:rPr>
        <w:t xml:space="preserve">Be transparent and flexible to allow for improvements over </w:t>
      </w:r>
      <w:proofErr w:type="gramStart"/>
      <w:r w:rsidRPr="00031D7C">
        <w:rPr>
          <w:rFonts w:ascii="Avenir Next" w:eastAsia="Montserrat" w:hAnsi="Avenir Next" w:cs="Montserrat"/>
          <w:color w:val="000000"/>
          <w:sz w:val="20"/>
          <w:szCs w:val="20"/>
        </w:rPr>
        <w:t>time;</w:t>
      </w:r>
      <w:proofErr w:type="gramEnd"/>
      <w:r w:rsidRPr="00031D7C">
        <w:rPr>
          <w:rFonts w:ascii="Avenir Next" w:eastAsia="Montserrat" w:hAnsi="Avenir Next" w:cs="Montserrat"/>
          <w:color w:val="000000"/>
          <w:sz w:val="20"/>
          <w:szCs w:val="20"/>
        </w:rPr>
        <w:t xml:space="preserve"> </w:t>
      </w:r>
    </w:p>
    <w:p w14:paraId="0331924B" w14:textId="5839B444" w:rsidR="00ED7BA2" w:rsidRPr="00031D7C" w:rsidRDefault="00000000">
      <w:pPr>
        <w:numPr>
          <w:ilvl w:val="0"/>
          <w:numId w:val="1"/>
        </w:numPr>
        <w:spacing w:line="336" w:lineRule="auto"/>
        <w:rPr>
          <w:rFonts w:ascii="Avenir Next" w:hAnsi="Avenir Next"/>
          <w:sz w:val="20"/>
          <w:szCs w:val="20"/>
        </w:rPr>
      </w:pPr>
      <w:r w:rsidRPr="00031D7C">
        <w:rPr>
          <w:rFonts w:ascii="Avenir Next" w:eastAsia="Montserrat" w:hAnsi="Avenir Next" w:cs="Montserrat"/>
          <w:color w:val="000000"/>
          <w:sz w:val="20"/>
          <w:szCs w:val="20"/>
        </w:rPr>
        <w:t xml:space="preserve">Provide information on how all the safeguards referred to in </w:t>
      </w:r>
      <w:r w:rsidR="001519FB">
        <w:rPr>
          <w:rFonts w:ascii="Avenir Next" w:eastAsia="Montserrat" w:hAnsi="Avenir Next" w:cs="Montserrat"/>
          <w:color w:val="000000"/>
          <w:sz w:val="20"/>
          <w:szCs w:val="20"/>
        </w:rPr>
        <w:t>A</w:t>
      </w:r>
      <w:r w:rsidRPr="00031D7C">
        <w:rPr>
          <w:rFonts w:ascii="Avenir Next" w:eastAsia="Montserrat" w:hAnsi="Avenir Next" w:cs="Montserrat"/>
          <w:color w:val="000000"/>
          <w:sz w:val="20"/>
          <w:szCs w:val="20"/>
        </w:rPr>
        <w:t>ppendix I to decision 1/CP.16 are being addressed and respected (hereinafter referred to as ‘Cancun safeguards’</w:t>
      </w:r>
      <w:proofErr w:type="gramStart"/>
      <w:r w:rsidRPr="00031D7C">
        <w:rPr>
          <w:rFonts w:ascii="Avenir Next" w:eastAsia="Montserrat" w:hAnsi="Avenir Next" w:cs="Montserrat"/>
          <w:color w:val="000000"/>
          <w:sz w:val="20"/>
          <w:szCs w:val="20"/>
        </w:rPr>
        <w:t>);</w:t>
      </w:r>
      <w:proofErr w:type="gramEnd"/>
      <w:r w:rsidRPr="00031D7C">
        <w:rPr>
          <w:rFonts w:ascii="Avenir Next" w:eastAsia="Montserrat" w:hAnsi="Avenir Next" w:cs="Montserrat"/>
          <w:color w:val="000000"/>
          <w:sz w:val="20"/>
          <w:szCs w:val="20"/>
        </w:rPr>
        <w:t xml:space="preserve"> </w:t>
      </w:r>
    </w:p>
    <w:p w14:paraId="1FC60477" w14:textId="77777777" w:rsidR="00ED7BA2" w:rsidRPr="00031D7C" w:rsidRDefault="00000000">
      <w:pPr>
        <w:numPr>
          <w:ilvl w:val="0"/>
          <w:numId w:val="1"/>
        </w:numPr>
        <w:spacing w:line="336" w:lineRule="auto"/>
        <w:rPr>
          <w:rFonts w:ascii="Avenir Next" w:hAnsi="Avenir Next"/>
          <w:sz w:val="20"/>
          <w:szCs w:val="20"/>
        </w:rPr>
      </w:pPr>
      <w:r w:rsidRPr="00031D7C">
        <w:rPr>
          <w:rFonts w:ascii="Avenir Next" w:eastAsia="Montserrat" w:hAnsi="Avenir Next" w:cs="Montserrat"/>
          <w:color w:val="000000"/>
          <w:sz w:val="20"/>
          <w:szCs w:val="20"/>
        </w:rPr>
        <w:t xml:space="preserve">Be country-driven and implemented at the national level; and  </w:t>
      </w:r>
    </w:p>
    <w:p w14:paraId="0AA60C13" w14:textId="77777777" w:rsidR="00ED7BA2" w:rsidRPr="00031D7C" w:rsidRDefault="00000000">
      <w:pPr>
        <w:numPr>
          <w:ilvl w:val="0"/>
          <w:numId w:val="1"/>
        </w:numPr>
        <w:spacing w:line="336" w:lineRule="auto"/>
        <w:rPr>
          <w:rFonts w:ascii="Avenir Next" w:hAnsi="Avenir Next"/>
          <w:sz w:val="20"/>
          <w:szCs w:val="20"/>
        </w:rPr>
      </w:pPr>
      <w:r w:rsidRPr="00031D7C">
        <w:rPr>
          <w:rFonts w:ascii="Avenir Next" w:eastAsia="Montserrat" w:hAnsi="Avenir Next" w:cs="Montserrat"/>
          <w:color w:val="000000"/>
          <w:sz w:val="20"/>
          <w:szCs w:val="20"/>
        </w:rPr>
        <w:t xml:space="preserve">Build upon existing systems, as appropriate. </w:t>
      </w:r>
    </w:p>
    <w:p w14:paraId="1F29D9EB" w14:textId="09D3226B" w:rsidR="00ED7BA2" w:rsidRPr="00031D7C" w:rsidRDefault="00000000">
      <w:pPr>
        <w:spacing w:before="120" w:after="120" w:line="336" w:lineRule="auto"/>
        <w:rPr>
          <w:rFonts w:ascii="Avenir Next" w:hAnsi="Avenir Next"/>
          <w:sz w:val="20"/>
          <w:szCs w:val="20"/>
        </w:rPr>
      </w:pPr>
      <w:r w:rsidRPr="00031D7C">
        <w:rPr>
          <w:rFonts w:ascii="Avenir Next" w:eastAsia="Montserrat" w:hAnsi="Avenir Next" w:cs="Montserrat"/>
          <w:color w:val="000000"/>
          <w:sz w:val="20"/>
          <w:szCs w:val="20"/>
        </w:rPr>
        <w:t xml:space="preserve">In the absence of more specific guidelines regarding the SIS, the system can be broadly understood as the domestic institutional arrangements - and associated processes - in place for providing information on how the safeguards are being addressed and respected in a country </w:t>
      </w:r>
      <w:r w:rsidRPr="00031D7C">
        <w:rPr>
          <w:rFonts w:ascii="Avenir Next" w:eastAsia="Montserrat" w:hAnsi="Avenir Next" w:cs="Montserrat"/>
          <w:color w:val="000000"/>
          <w:sz w:val="20"/>
          <w:szCs w:val="20"/>
        </w:rPr>
        <w:lastRenderedPageBreak/>
        <w:t>throughout the implementation of its proposed REDD+ actions.</w:t>
      </w:r>
      <w:r w:rsidR="00031D7C">
        <w:rPr>
          <w:rStyle w:val="FootnoteReference"/>
          <w:rFonts w:ascii="Avenir Next" w:eastAsia="Montserrat" w:hAnsi="Avenir Next" w:cs="Montserrat"/>
          <w:color w:val="000000"/>
          <w:sz w:val="20"/>
          <w:szCs w:val="20"/>
        </w:rPr>
        <w:footnoteReference w:id="4"/>
      </w:r>
      <w:r w:rsidRPr="00031D7C">
        <w:rPr>
          <w:rFonts w:ascii="Avenir Next" w:eastAsia="Montserrat" w:hAnsi="Avenir Next" w:cs="Montserrat"/>
          <w:color w:val="000000"/>
          <w:sz w:val="20"/>
          <w:szCs w:val="20"/>
        </w:rPr>
        <w:t xml:space="preserve"> Therefore, the main element that may need to be put in place is an institutional arrangement for collecting, compiling, aggregating and </w:t>
      </w:r>
      <w:proofErr w:type="spellStart"/>
      <w:r w:rsidRPr="00031D7C">
        <w:rPr>
          <w:rFonts w:ascii="Avenir Next" w:eastAsia="Montserrat" w:hAnsi="Avenir Next" w:cs="Montserrat"/>
          <w:color w:val="000000"/>
          <w:sz w:val="20"/>
          <w:szCs w:val="20"/>
        </w:rPr>
        <w:t>analysing</w:t>
      </w:r>
      <w:proofErr w:type="spellEnd"/>
      <w:r w:rsidRPr="00031D7C">
        <w:rPr>
          <w:rFonts w:ascii="Avenir Next" w:eastAsia="Montserrat" w:hAnsi="Avenir Next" w:cs="Montserrat"/>
          <w:color w:val="000000"/>
          <w:sz w:val="20"/>
          <w:szCs w:val="20"/>
        </w:rPr>
        <w:t xml:space="preserve"> relevant information as well as preparing and disseminating it to meet the different reporting needs of the relevant national and international stakeholders. The development of the SIS, therefore, involves a process of examination, assessment and tailoring of existing information systems and sources to meet the various safeguard reporting needs of the country. </w:t>
      </w:r>
    </w:p>
    <w:p w14:paraId="2399DBDF" w14:textId="16AD8FD2" w:rsidR="00ED7BA2" w:rsidRPr="00031D7C" w:rsidRDefault="00000000">
      <w:pPr>
        <w:spacing w:before="120" w:after="120" w:line="336" w:lineRule="auto"/>
        <w:rPr>
          <w:rFonts w:ascii="Avenir Next" w:hAnsi="Avenir Next"/>
          <w:sz w:val="20"/>
          <w:szCs w:val="20"/>
        </w:rPr>
      </w:pPr>
      <w:r w:rsidRPr="00031D7C">
        <w:rPr>
          <w:rFonts w:ascii="Avenir Next" w:eastAsia="Montserrat" w:hAnsi="Avenir Next" w:cs="Montserrat"/>
          <w:color w:val="000000"/>
          <w:sz w:val="20"/>
          <w:szCs w:val="20"/>
        </w:rPr>
        <w:t xml:space="preserve">Notably, equivalent systems are expected for sub-national jurisdictions, which are required to have a sub-national ‘reporting system’ in place that allows them to report to both the national government and domestic stakeholders on how the Cancun safeguards are being addressed and respected at </w:t>
      </w:r>
      <w:r w:rsidR="001519FB">
        <w:rPr>
          <w:rFonts w:ascii="Avenir Next" w:eastAsia="Montserrat" w:hAnsi="Avenir Next" w:cs="Montserrat"/>
          <w:color w:val="000000"/>
          <w:sz w:val="20"/>
          <w:szCs w:val="20"/>
        </w:rPr>
        <w:t xml:space="preserve">the </w:t>
      </w:r>
      <w:r w:rsidRPr="00031D7C">
        <w:rPr>
          <w:rFonts w:ascii="Avenir Next" w:eastAsia="Montserrat" w:hAnsi="Avenir Next" w:cs="Montserrat"/>
          <w:color w:val="000000"/>
          <w:sz w:val="20"/>
          <w:szCs w:val="20"/>
        </w:rPr>
        <w:t xml:space="preserve">sub-national level.  </w:t>
      </w:r>
    </w:p>
    <w:p w14:paraId="6094C922" w14:textId="77777777" w:rsidR="00ED7BA2" w:rsidRPr="00031D7C" w:rsidRDefault="00000000">
      <w:pPr>
        <w:spacing w:before="120" w:after="120" w:line="336" w:lineRule="auto"/>
        <w:rPr>
          <w:rFonts w:ascii="Avenir Next" w:hAnsi="Avenir Next"/>
          <w:sz w:val="20"/>
          <w:szCs w:val="20"/>
        </w:rPr>
      </w:pPr>
      <w:r w:rsidRPr="00031D7C">
        <w:rPr>
          <w:rFonts w:ascii="Avenir Next" w:eastAsia="Montserrat" w:hAnsi="Avenir Next" w:cs="Montserrat"/>
          <w:color w:val="000000"/>
          <w:sz w:val="20"/>
          <w:szCs w:val="20"/>
        </w:rPr>
        <w:t xml:space="preserve">This tool is therefore intended to help J-REDD+ programs better understand: </w:t>
      </w:r>
    </w:p>
    <w:p w14:paraId="46F5165C" w14:textId="77777777" w:rsidR="00ED7BA2" w:rsidRPr="00031D7C" w:rsidRDefault="00000000">
      <w:pPr>
        <w:numPr>
          <w:ilvl w:val="0"/>
          <w:numId w:val="2"/>
        </w:numPr>
        <w:spacing w:line="336" w:lineRule="auto"/>
        <w:rPr>
          <w:rFonts w:ascii="Avenir Next" w:hAnsi="Avenir Next"/>
          <w:sz w:val="20"/>
          <w:szCs w:val="20"/>
        </w:rPr>
      </w:pPr>
      <w:r w:rsidRPr="00031D7C">
        <w:rPr>
          <w:rFonts w:ascii="Avenir Next" w:eastAsia="Montserrat" w:hAnsi="Avenir Next" w:cs="Montserrat"/>
          <w:color w:val="000000"/>
          <w:sz w:val="20"/>
          <w:szCs w:val="20"/>
        </w:rPr>
        <w:t xml:space="preserve">The quality of their SIS (or equivalent) in correlation with the UNFCCC’s guidance and international best practices,  </w:t>
      </w:r>
    </w:p>
    <w:p w14:paraId="4367AEAC" w14:textId="77777777" w:rsidR="00ED7BA2" w:rsidRPr="00031D7C" w:rsidRDefault="00000000">
      <w:pPr>
        <w:numPr>
          <w:ilvl w:val="0"/>
          <w:numId w:val="2"/>
        </w:numPr>
        <w:spacing w:line="336" w:lineRule="auto"/>
        <w:rPr>
          <w:rFonts w:ascii="Avenir Next" w:hAnsi="Avenir Next"/>
          <w:sz w:val="20"/>
          <w:szCs w:val="20"/>
        </w:rPr>
      </w:pPr>
      <w:r w:rsidRPr="00031D7C">
        <w:rPr>
          <w:rFonts w:ascii="Avenir Next" w:eastAsia="Montserrat" w:hAnsi="Avenir Next" w:cs="Montserrat"/>
          <w:color w:val="000000"/>
          <w:sz w:val="20"/>
          <w:szCs w:val="20"/>
        </w:rPr>
        <w:t xml:space="preserve">An annual sustainability report is an essential document that outlines a company's efforts to promote environmental stewardship, social responsibility, and economic viability. </w:t>
      </w:r>
    </w:p>
    <w:p w14:paraId="7BA4E1DC" w14:textId="77777777" w:rsidR="00ED7BA2" w:rsidRPr="00031D7C" w:rsidRDefault="00000000">
      <w:pPr>
        <w:spacing w:before="120" w:after="120" w:line="336" w:lineRule="auto"/>
        <w:rPr>
          <w:rFonts w:ascii="Bodoni 72 Book" w:hAnsi="Bodoni 72 Book"/>
          <w:color w:val="0D666D"/>
        </w:rPr>
      </w:pPr>
      <w:r w:rsidRPr="00031D7C">
        <w:rPr>
          <w:rFonts w:ascii="Bodoni 72 Book" w:eastAsia="Prata" w:hAnsi="Bodoni 72 Book" w:cs="Prata"/>
          <w:color w:val="0D666D"/>
          <w:sz w:val="64"/>
          <w:szCs w:val="64"/>
        </w:rPr>
        <w:t xml:space="preserve">How to use this tool?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9030"/>
      </w:tblGrid>
      <w:tr w:rsidR="00ED7BA2" w14:paraId="1CC71C3C" w14:textId="77777777">
        <w:tc>
          <w:tcPr>
            <w:tcW w:w="9030" w:type="dxa"/>
            <w:shd w:val="clear" w:color="auto" w:fill="076C72"/>
            <w:tcMar>
              <w:top w:w="180" w:type="dxa"/>
              <w:left w:w="180" w:type="dxa"/>
              <w:bottom w:w="180" w:type="dxa"/>
              <w:right w:w="180" w:type="dxa"/>
            </w:tcMar>
          </w:tcPr>
          <w:p w14:paraId="62C632E4" w14:textId="77777777" w:rsidR="00031D7C" w:rsidRDefault="00000000" w:rsidP="00031D7C">
            <w:pPr>
              <w:spacing w:before="120" w:after="120" w:line="336" w:lineRule="auto"/>
              <w:rPr>
                <w:rFonts w:ascii="Avenir Next" w:eastAsia="IBM Plex Sans" w:hAnsi="Avenir Next" w:cs="IBM Plex Sans"/>
                <w:color w:val="FFFFFF"/>
                <w:sz w:val="20"/>
                <w:szCs w:val="20"/>
              </w:rPr>
            </w:pPr>
            <w:r w:rsidRPr="00031D7C">
              <w:rPr>
                <w:rFonts w:ascii="Avenir Next" w:eastAsia="IBM Plex Sans" w:hAnsi="Avenir Next" w:cs="IBM Plex Sans"/>
                <w:color w:val="FFFFFF"/>
                <w:sz w:val="20"/>
                <w:szCs w:val="20"/>
              </w:rPr>
              <w:t xml:space="preserve">This tool is divided into two sections: </w:t>
            </w:r>
          </w:p>
          <w:p w14:paraId="4047FE8D" w14:textId="77777777" w:rsidR="00031D7C" w:rsidRDefault="00000000" w:rsidP="00031D7C">
            <w:pPr>
              <w:pStyle w:val="ListParagraph"/>
              <w:numPr>
                <w:ilvl w:val="0"/>
                <w:numId w:val="13"/>
              </w:numPr>
              <w:spacing w:before="120" w:after="120" w:line="336" w:lineRule="auto"/>
              <w:rPr>
                <w:rFonts w:ascii="Avenir Next" w:eastAsia="IBM Plex Sans" w:hAnsi="Avenir Next" w:cs="IBM Plex Sans"/>
                <w:color w:val="FFFFFF"/>
                <w:sz w:val="20"/>
                <w:szCs w:val="20"/>
              </w:rPr>
            </w:pPr>
            <w:r w:rsidRPr="00031D7C">
              <w:rPr>
                <w:rFonts w:ascii="Avenir Next" w:eastAsia="IBM Plex Sans Bold" w:hAnsi="Avenir Next" w:cs="IBM Plex Sans Bold"/>
                <w:b/>
                <w:bCs/>
                <w:color w:val="FFFFFF"/>
                <w:sz w:val="20"/>
                <w:szCs w:val="20"/>
              </w:rPr>
              <w:t>Section A:</w:t>
            </w:r>
            <w:r w:rsidRPr="00031D7C">
              <w:rPr>
                <w:rFonts w:ascii="Avenir Next" w:eastAsia="IBM Plex Sans" w:hAnsi="Avenir Next" w:cs="IBM Plex Sans"/>
                <w:color w:val="FFFFFF"/>
                <w:sz w:val="20"/>
                <w:szCs w:val="20"/>
              </w:rPr>
              <w:t xml:space="preserve"> presents a questionnaire, which guides users through the technical qualitative assessment of the SIS (or equivalent).  </w:t>
            </w:r>
          </w:p>
          <w:p w14:paraId="0E278287" w14:textId="29647E99" w:rsidR="00ED7BA2" w:rsidRPr="00031D7C" w:rsidRDefault="00000000" w:rsidP="00031D7C">
            <w:pPr>
              <w:pStyle w:val="ListParagraph"/>
              <w:numPr>
                <w:ilvl w:val="0"/>
                <w:numId w:val="13"/>
              </w:numPr>
              <w:spacing w:before="120" w:after="120" w:line="336" w:lineRule="auto"/>
              <w:rPr>
                <w:rFonts w:ascii="Avenir Next" w:eastAsia="IBM Plex Sans" w:hAnsi="Avenir Next" w:cs="IBM Plex Sans"/>
                <w:color w:val="FFFFFF"/>
                <w:sz w:val="20"/>
                <w:szCs w:val="20"/>
              </w:rPr>
            </w:pPr>
            <w:r w:rsidRPr="00031D7C">
              <w:rPr>
                <w:rFonts w:ascii="Avenir Next" w:eastAsia="IBM Plex Sans Bold" w:hAnsi="Avenir Next" w:cs="IBM Plex Sans Bold"/>
                <w:b/>
                <w:bCs/>
                <w:color w:val="FFFFFF"/>
                <w:sz w:val="20"/>
                <w:szCs w:val="20"/>
              </w:rPr>
              <w:t>Section B</w:t>
            </w:r>
            <w:r w:rsidRPr="00031D7C">
              <w:rPr>
                <w:rFonts w:ascii="Avenir Next" w:eastAsia="IBM Plex Sans" w:hAnsi="Avenir Next" w:cs="IBM Plex Sans"/>
                <w:color w:val="FFFFFF"/>
                <w:sz w:val="20"/>
                <w:szCs w:val="20"/>
              </w:rPr>
              <w:t>: presents a report template, that is to be completed based on the results from Section ‘A</w:t>
            </w:r>
            <w:proofErr w:type="gramStart"/>
            <w:r w:rsidRPr="00031D7C">
              <w:rPr>
                <w:rFonts w:ascii="Avenir Next" w:eastAsia="IBM Plex Sans" w:hAnsi="Avenir Next" w:cs="IBM Plex Sans"/>
                <w:color w:val="FFFFFF"/>
                <w:sz w:val="20"/>
                <w:szCs w:val="20"/>
              </w:rPr>
              <w:t>’, and</w:t>
            </w:r>
            <w:proofErr w:type="gramEnd"/>
            <w:r w:rsidRPr="00031D7C">
              <w:rPr>
                <w:rFonts w:ascii="Avenir Next" w:eastAsia="IBM Plex Sans" w:hAnsi="Avenir Next" w:cs="IBM Plex Sans"/>
                <w:color w:val="FFFFFF"/>
                <w:sz w:val="20"/>
                <w:szCs w:val="20"/>
              </w:rPr>
              <w:t xml:space="preserve"> will inform the development </w:t>
            </w:r>
            <w:r w:rsidR="00031D7C" w:rsidRPr="00031D7C">
              <w:rPr>
                <w:rFonts w:ascii="Avenir Next" w:eastAsia="IBM Plex Sans" w:hAnsi="Avenir Next" w:cs="IBM Plex Sans"/>
                <w:color w:val="FFFFFF"/>
                <w:sz w:val="20"/>
                <w:szCs w:val="20"/>
              </w:rPr>
              <w:t>of the</w:t>
            </w:r>
            <w:r w:rsidRPr="00031D7C">
              <w:rPr>
                <w:rFonts w:ascii="Avenir Next" w:eastAsia="IBM Plex Sans" w:hAnsi="Avenir Next" w:cs="IBM Plex Sans"/>
                <w:color w:val="FFFFFF"/>
                <w:sz w:val="20"/>
                <w:szCs w:val="20"/>
              </w:rPr>
              <w:t xml:space="preserve"> J-REDD+ roadmap (Tool 8).</w:t>
            </w:r>
            <w:r w:rsidRPr="00031D7C">
              <w:rPr>
                <w:rFonts w:ascii="IBM Plex Sans" w:eastAsia="IBM Plex Sans" w:hAnsi="IBM Plex Sans" w:cs="IBM Plex Sans"/>
                <w:color w:val="FFFFFF"/>
                <w:sz w:val="22"/>
                <w:szCs w:val="22"/>
              </w:rPr>
              <w:t xml:space="preserve"> </w:t>
            </w:r>
          </w:p>
        </w:tc>
      </w:tr>
    </w:tbl>
    <w:p w14:paraId="2F116459" w14:textId="77777777" w:rsidR="00C878E5" w:rsidRDefault="00C878E5">
      <w:pPr>
        <w:spacing w:before="120" w:after="120" w:line="336" w:lineRule="auto"/>
        <w:rPr>
          <w:rFonts w:ascii="Bodoni 72 Book" w:eastAsia="Montserrat" w:hAnsi="Bodoni 72 Book" w:cs="Montserrat"/>
          <w:color w:val="0D666D"/>
          <w:sz w:val="64"/>
          <w:szCs w:val="64"/>
        </w:rPr>
      </w:pPr>
    </w:p>
    <w:p w14:paraId="3C245553" w14:textId="77777777" w:rsidR="00C878E5" w:rsidRDefault="00C878E5">
      <w:pPr>
        <w:spacing w:before="120" w:after="120" w:line="336" w:lineRule="auto"/>
        <w:rPr>
          <w:rFonts w:ascii="Bodoni 72 Book" w:eastAsia="Montserrat" w:hAnsi="Bodoni 72 Book" w:cs="Montserrat"/>
          <w:color w:val="0D666D"/>
          <w:sz w:val="64"/>
          <w:szCs w:val="64"/>
        </w:rPr>
      </w:pPr>
    </w:p>
    <w:p w14:paraId="1D92DD33" w14:textId="58EA1D6E" w:rsidR="00ED7BA2" w:rsidRPr="00031D7C" w:rsidRDefault="00000000">
      <w:pPr>
        <w:spacing w:before="120" w:after="120" w:line="336" w:lineRule="auto"/>
        <w:rPr>
          <w:rFonts w:ascii="Bodoni 72 Book" w:hAnsi="Bodoni 72 Book"/>
          <w:color w:val="0D666D"/>
        </w:rPr>
      </w:pPr>
      <w:r w:rsidRPr="00031D7C">
        <w:rPr>
          <w:rFonts w:ascii="Bodoni 72 Book" w:eastAsia="Montserrat" w:hAnsi="Bodoni 72 Book" w:cs="Montserrat"/>
          <w:color w:val="0D666D"/>
          <w:sz w:val="64"/>
          <w:szCs w:val="64"/>
        </w:rPr>
        <w:lastRenderedPageBreak/>
        <w:t xml:space="preserve">Section A - Questionnaire </w:t>
      </w:r>
    </w:p>
    <w:p w14:paraId="263CB83C" w14:textId="77777777" w:rsidR="00ED7BA2" w:rsidRPr="00031D7C" w:rsidRDefault="00000000">
      <w:pPr>
        <w:spacing w:before="120" w:after="120"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The questionnaire is structured in different characteristics, which correlate with UNFCCC guidance and international best practices. </w:t>
      </w:r>
    </w:p>
    <w:p w14:paraId="02748CF3" w14:textId="77777777" w:rsidR="00ED7BA2" w:rsidRPr="00031D7C" w:rsidRDefault="00000000">
      <w:pPr>
        <w:spacing w:before="120" w:after="120"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To complete this questionnaire users should consider the scope of each column as follows:  </w:t>
      </w:r>
    </w:p>
    <w:p w14:paraId="4C4FEDC4" w14:textId="30BFD6A3" w:rsidR="00ED7BA2" w:rsidRPr="00031D7C" w:rsidRDefault="00000000">
      <w:pPr>
        <w:numPr>
          <w:ilvl w:val="0"/>
          <w:numId w:val="4"/>
        </w:numPr>
        <w:spacing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 </w:t>
      </w:r>
      <w:r w:rsidRPr="00031D7C">
        <w:rPr>
          <w:rFonts w:ascii="Avenir Next" w:eastAsia="IBM Plex Sans" w:hAnsi="Avenir Next" w:cs="IBM Plex Sans"/>
          <w:color w:val="000000"/>
          <w:sz w:val="20"/>
          <w:szCs w:val="20"/>
          <w:u w:val="single" w:color="000000"/>
        </w:rPr>
        <w:t>Questions</w:t>
      </w:r>
      <w:r w:rsidRPr="00031D7C">
        <w:rPr>
          <w:rFonts w:ascii="Avenir Next" w:eastAsia="IBM Plex Sans" w:hAnsi="Avenir Next" w:cs="IBM Plex Sans"/>
          <w:color w:val="000000"/>
          <w:sz w:val="20"/>
          <w:szCs w:val="20"/>
        </w:rPr>
        <w:t xml:space="preserve">: presents guiding questions for the users. Note that use of </w:t>
      </w:r>
      <w:r w:rsidR="001519FB">
        <w:rPr>
          <w:rFonts w:ascii="Avenir Next" w:eastAsia="IBM Plex Sans" w:hAnsi="Avenir Next" w:cs="IBM Plex Sans"/>
          <w:color w:val="000000"/>
          <w:sz w:val="20"/>
          <w:szCs w:val="20"/>
        </w:rPr>
        <w:t xml:space="preserve">the </w:t>
      </w:r>
      <w:r w:rsidRPr="00031D7C">
        <w:rPr>
          <w:rFonts w:ascii="Avenir Next" w:eastAsia="IBM Plex Sans" w:hAnsi="Avenir Next" w:cs="IBM Plex Sans"/>
          <w:color w:val="000000"/>
          <w:sz w:val="20"/>
          <w:szCs w:val="20"/>
        </w:rPr>
        <w:t xml:space="preserve">term ‘equivalent’ refers to a sub-national ‘reporting system’. </w:t>
      </w:r>
    </w:p>
    <w:p w14:paraId="3161477B" w14:textId="372B8BCD" w:rsidR="00ED7BA2" w:rsidRPr="00031D7C" w:rsidRDefault="00000000">
      <w:pPr>
        <w:numPr>
          <w:ilvl w:val="0"/>
          <w:numId w:val="4"/>
        </w:numPr>
        <w:spacing w:line="336" w:lineRule="auto"/>
        <w:rPr>
          <w:rFonts w:ascii="Avenir Next" w:hAnsi="Avenir Next"/>
          <w:sz w:val="20"/>
          <w:szCs w:val="20"/>
        </w:rPr>
      </w:pPr>
      <w:r w:rsidRPr="00031D7C">
        <w:rPr>
          <w:rFonts w:ascii="Avenir Next" w:eastAsia="IBM Plex Sans" w:hAnsi="Avenir Next" w:cs="IBM Plex Sans"/>
          <w:color w:val="000000"/>
          <w:sz w:val="20"/>
          <w:szCs w:val="20"/>
          <w:u w:val="single" w:color="000000"/>
        </w:rPr>
        <w:t>Scoring:</w:t>
      </w:r>
      <w:r w:rsidRPr="00031D7C">
        <w:rPr>
          <w:rFonts w:ascii="Avenir Next" w:eastAsia="IBM Plex Sans" w:hAnsi="Avenir Next" w:cs="IBM Plex Sans"/>
          <w:color w:val="000000"/>
          <w:sz w:val="20"/>
          <w:szCs w:val="20"/>
        </w:rPr>
        <w:t xml:space="preserve"> the following scoring guide should be applied by users: </w:t>
      </w:r>
    </w:p>
    <w:p w14:paraId="7C000AE7" w14:textId="1C9F0C38" w:rsidR="00ED7BA2" w:rsidRPr="00031D7C" w:rsidRDefault="00031D7C">
      <w:pPr>
        <w:numPr>
          <w:ilvl w:val="1"/>
          <w:numId w:val="4"/>
        </w:numPr>
        <w:spacing w:line="336" w:lineRule="auto"/>
        <w:rPr>
          <w:rFonts w:ascii="Avenir Next" w:hAnsi="Avenir Next"/>
          <w:sz w:val="20"/>
          <w:szCs w:val="20"/>
        </w:rPr>
      </w:pPr>
      <w:r w:rsidRPr="00031D7C">
        <w:rPr>
          <w:rFonts w:ascii="Avenir Next" w:hAnsi="Avenir Next"/>
          <w:noProof/>
          <w:sz w:val="20"/>
          <w:szCs w:val="20"/>
        </w:rPr>
        <w:drawing>
          <wp:anchor distT="0" distB="0" distL="114300" distR="114300" simplePos="0" relativeHeight="251667456" behindDoc="1" locked="0" layoutInCell="1" allowOverlap="1" wp14:anchorId="197C790A" wp14:editId="6C1E2848">
            <wp:simplePos x="0" y="0"/>
            <wp:positionH relativeFrom="column">
              <wp:posOffset>4881208</wp:posOffset>
            </wp:positionH>
            <wp:positionV relativeFrom="paragraph">
              <wp:posOffset>78105</wp:posOffset>
            </wp:positionV>
            <wp:extent cx="335915" cy="268605"/>
            <wp:effectExtent l="0" t="0" r="0" b="0"/>
            <wp:wrapSquare wrapText="bothSides"/>
            <wp:docPr id="26" name="Drawing 1" descr="f2129134-ddea-4724-8cc3-5f6403e83add.png"/>
            <wp:cNvGraphicFramePr/>
            <a:graphic xmlns:a="http://schemas.openxmlformats.org/drawingml/2006/main">
              <a:graphicData uri="http://schemas.openxmlformats.org/drawingml/2006/picture">
                <pic:pic xmlns:pic="http://schemas.openxmlformats.org/drawingml/2006/picture">
                  <pic:nvPicPr>
                    <pic:cNvPr id="0" name="Picture 1" descr="f2129134-ddea-4724-8cc3-5f6403e83add.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915" cy="268605"/>
                    </a:xfrm>
                    <a:prstGeom prst="rect">
                      <a:avLst/>
                    </a:prstGeom>
                  </pic:spPr>
                </pic:pic>
              </a:graphicData>
            </a:graphic>
            <wp14:sizeRelH relativeFrom="page">
              <wp14:pctWidth>0</wp14:pctWidth>
            </wp14:sizeRelH>
            <wp14:sizeRelV relativeFrom="page">
              <wp14:pctHeight>0</wp14:pctHeight>
            </wp14:sizeRelV>
          </wp:anchor>
        </w:drawing>
      </w:r>
      <w:r w:rsidRPr="00031D7C">
        <w:rPr>
          <w:rFonts w:ascii="Avenir Next" w:eastAsia="IBM Plex Sans Bold" w:hAnsi="Avenir Next" w:cs="IBM Plex Sans Bold"/>
          <w:b/>
          <w:bCs/>
          <w:color w:val="000000"/>
          <w:sz w:val="20"/>
          <w:szCs w:val="20"/>
        </w:rPr>
        <w:t>Yes:</w:t>
      </w:r>
      <w:r w:rsidRPr="00031D7C">
        <w:rPr>
          <w:rFonts w:ascii="Avenir Next" w:eastAsia="IBM Plex Sans" w:hAnsi="Avenir Next" w:cs="IBM Plex Sans"/>
          <w:color w:val="000000"/>
          <w:sz w:val="20"/>
          <w:szCs w:val="20"/>
        </w:rPr>
        <w:t xml:space="preserve"> The SIS (or equivalent) incorporates this aspect in conformance with relevant guidance and/or best practices.  </w:t>
      </w:r>
    </w:p>
    <w:p w14:paraId="28AF3C3A" w14:textId="77777777" w:rsidR="00ED7BA2" w:rsidRPr="00031D7C" w:rsidRDefault="00000000">
      <w:pPr>
        <w:numPr>
          <w:ilvl w:val="1"/>
          <w:numId w:val="4"/>
        </w:numPr>
        <w:spacing w:line="336" w:lineRule="auto"/>
        <w:rPr>
          <w:rFonts w:ascii="Avenir Next" w:hAnsi="Avenir Next"/>
          <w:sz w:val="20"/>
          <w:szCs w:val="20"/>
        </w:rPr>
      </w:pPr>
      <w:r w:rsidRPr="00031D7C">
        <w:rPr>
          <w:rFonts w:ascii="Avenir Next" w:eastAsia="IBM Plex Sans Bold" w:hAnsi="Avenir Next" w:cs="IBM Plex Sans Bold"/>
          <w:b/>
          <w:bCs/>
          <w:color w:val="000000"/>
          <w:sz w:val="20"/>
          <w:szCs w:val="20"/>
        </w:rPr>
        <w:t>Partially:</w:t>
      </w:r>
      <w:r w:rsidRPr="00031D7C">
        <w:rPr>
          <w:rFonts w:ascii="Avenir Next" w:eastAsia="IBM Plex Sans" w:hAnsi="Avenir Next" w:cs="IBM Plex Sans"/>
          <w:color w:val="000000"/>
          <w:sz w:val="20"/>
          <w:szCs w:val="20"/>
        </w:rPr>
        <w:t xml:space="preserve"> The SIS (or equivalent) partially incorporates this aspect in conformance with relevant guidance and/or best practices. There are some gaps that need to be addressed.  </w:t>
      </w:r>
    </w:p>
    <w:p w14:paraId="65A63DBB" w14:textId="69248058" w:rsidR="00ED7BA2" w:rsidRPr="00031D7C" w:rsidRDefault="00031D7C">
      <w:pPr>
        <w:numPr>
          <w:ilvl w:val="1"/>
          <w:numId w:val="4"/>
        </w:numPr>
        <w:spacing w:line="336" w:lineRule="auto"/>
        <w:rPr>
          <w:rFonts w:ascii="Avenir Next" w:hAnsi="Avenir Next"/>
          <w:sz w:val="20"/>
          <w:szCs w:val="20"/>
        </w:rPr>
      </w:pPr>
      <w:r>
        <w:rPr>
          <w:noProof/>
        </w:rPr>
        <w:drawing>
          <wp:anchor distT="0" distB="0" distL="114300" distR="114300" simplePos="0" relativeHeight="251669504" behindDoc="0" locked="0" layoutInCell="1" allowOverlap="1" wp14:anchorId="73FDF816" wp14:editId="7D891C86">
            <wp:simplePos x="0" y="0"/>
            <wp:positionH relativeFrom="column">
              <wp:posOffset>5109883</wp:posOffset>
            </wp:positionH>
            <wp:positionV relativeFrom="paragraph">
              <wp:posOffset>169172</wp:posOffset>
            </wp:positionV>
            <wp:extent cx="322580" cy="281940"/>
            <wp:effectExtent l="0" t="0" r="0" b="0"/>
            <wp:wrapSquare wrapText="bothSides"/>
            <wp:docPr id="28" name="Drawing 2" descr="581de573-096f-4890-afa8-efcc489609f0.png"/>
            <wp:cNvGraphicFramePr/>
            <a:graphic xmlns:a="http://schemas.openxmlformats.org/drawingml/2006/main">
              <a:graphicData uri="http://schemas.openxmlformats.org/drawingml/2006/picture">
                <pic:pic xmlns:pic="http://schemas.openxmlformats.org/drawingml/2006/picture">
                  <pic:nvPicPr>
                    <pic:cNvPr id="0" name="Picture 2" descr="581de573-096f-4890-afa8-efcc489609f0.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580" cy="281940"/>
                    </a:xfrm>
                    <a:prstGeom prst="rect">
                      <a:avLst/>
                    </a:prstGeom>
                  </pic:spPr>
                </pic:pic>
              </a:graphicData>
            </a:graphic>
            <wp14:sizeRelH relativeFrom="page">
              <wp14:pctWidth>0</wp14:pctWidth>
            </wp14:sizeRelH>
            <wp14:sizeRelV relativeFrom="page">
              <wp14:pctHeight>0</wp14:pctHeight>
            </wp14:sizeRelV>
          </wp:anchor>
        </w:drawing>
      </w:r>
      <w:r w:rsidRPr="00031D7C">
        <w:rPr>
          <w:rFonts w:ascii="Avenir Next" w:eastAsia="IBM Plex Sans" w:hAnsi="Avenir Next" w:cs="IBM Plex Sans"/>
          <w:color w:val="000000"/>
          <w:sz w:val="20"/>
          <w:szCs w:val="20"/>
        </w:rPr>
        <w:t xml:space="preserve"> </w:t>
      </w:r>
      <w:r w:rsidRPr="00031D7C">
        <w:rPr>
          <w:rFonts w:ascii="Avenir Next" w:eastAsia="IBM Plex Sans Bold" w:hAnsi="Avenir Next" w:cs="IBM Plex Sans Bold"/>
          <w:b/>
          <w:bCs/>
          <w:color w:val="000000"/>
          <w:sz w:val="20"/>
          <w:szCs w:val="20"/>
        </w:rPr>
        <w:t>No</w:t>
      </w:r>
      <w:r w:rsidRPr="00031D7C">
        <w:rPr>
          <w:rFonts w:ascii="Avenir Next" w:eastAsia="IBM Plex Sans" w:hAnsi="Avenir Next" w:cs="IBM Plex Sans"/>
          <w:color w:val="000000"/>
          <w:sz w:val="20"/>
          <w:szCs w:val="20"/>
        </w:rPr>
        <w:t xml:space="preserve">: The SIS (or equivalent) does not incorporate this aspect in conformance with relevant guidance and/or best practices, and there are notable gaps that need to be addressed to ensure full conformance.  </w:t>
      </w:r>
    </w:p>
    <w:p w14:paraId="359B25C5" w14:textId="01B0FCFE" w:rsidR="00ED7BA2" w:rsidRPr="00031D7C" w:rsidRDefault="00000000">
      <w:pPr>
        <w:numPr>
          <w:ilvl w:val="0"/>
          <w:numId w:val="4"/>
        </w:numPr>
        <w:spacing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 </w:t>
      </w:r>
      <w:r w:rsidRPr="00031D7C">
        <w:rPr>
          <w:rFonts w:ascii="Avenir Next" w:eastAsia="IBM Plex Sans" w:hAnsi="Avenir Next" w:cs="IBM Plex Sans"/>
          <w:color w:val="000000"/>
          <w:sz w:val="20"/>
          <w:szCs w:val="20"/>
          <w:u w:val="single" w:color="000000"/>
        </w:rPr>
        <w:t>Findings</w:t>
      </w:r>
      <w:r w:rsidRPr="00031D7C">
        <w:rPr>
          <w:rFonts w:ascii="Avenir Next" w:eastAsia="IBM Plex Sans" w:hAnsi="Avenir Next" w:cs="IBM Plex Sans"/>
          <w:color w:val="000000"/>
          <w:sz w:val="20"/>
          <w:szCs w:val="20"/>
        </w:rPr>
        <w:t xml:space="preserve">: </w:t>
      </w:r>
      <w:r w:rsidR="001519FB">
        <w:rPr>
          <w:rFonts w:ascii="Avenir Next" w:eastAsia="IBM Plex Sans" w:hAnsi="Avenir Next" w:cs="IBM Plex Sans"/>
          <w:color w:val="000000"/>
          <w:sz w:val="20"/>
          <w:szCs w:val="20"/>
        </w:rPr>
        <w:t xml:space="preserve">an </w:t>
      </w:r>
      <w:r w:rsidRPr="00031D7C">
        <w:rPr>
          <w:rFonts w:ascii="Avenir Next" w:eastAsia="IBM Plex Sans" w:hAnsi="Avenir Next" w:cs="IBM Plex Sans"/>
          <w:color w:val="000000"/>
          <w:sz w:val="20"/>
          <w:szCs w:val="20"/>
        </w:rPr>
        <w:t xml:space="preserve">opportunity for users to offer information and/or clarifications in relation </w:t>
      </w:r>
      <w:r w:rsidR="001519FB">
        <w:rPr>
          <w:rFonts w:ascii="Avenir Next" w:eastAsia="IBM Plex Sans" w:hAnsi="Avenir Next" w:cs="IBM Plex Sans"/>
          <w:color w:val="000000"/>
          <w:sz w:val="20"/>
          <w:szCs w:val="20"/>
        </w:rPr>
        <w:t xml:space="preserve">to </w:t>
      </w:r>
      <w:r w:rsidRPr="00031D7C">
        <w:rPr>
          <w:rFonts w:ascii="Avenir Next" w:eastAsia="IBM Plex Sans" w:hAnsi="Avenir Next" w:cs="IBM Plex Sans"/>
          <w:color w:val="000000"/>
          <w:sz w:val="20"/>
          <w:szCs w:val="20"/>
        </w:rPr>
        <w:t xml:space="preserve">their scoring. </w:t>
      </w:r>
    </w:p>
    <w:p w14:paraId="64393E7F" w14:textId="7AC8237E" w:rsidR="00031D7C" w:rsidRPr="00C878E5" w:rsidRDefault="00000000" w:rsidP="00C878E5">
      <w:pPr>
        <w:numPr>
          <w:ilvl w:val="0"/>
          <w:numId w:val="4"/>
        </w:numPr>
        <w:spacing w:line="336" w:lineRule="auto"/>
        <w:rPr>
          <w:rFonts w:ascii="Avenir Next" w:hAnsi="Avenir Next"/>
          <w:sz w:val="20"/>
          <w:szCs w:val="20"/>
        </w:rPr>
      </w:pPr>
      <w:r w:rsidRPr="00031D7C">
        <w:rPr>
          <w:rFonts w:ascii="Avenir Next" w:eastAsia="IBM Plex Sans" w:hAnsi="Avenir Next" w:cs="IBM Plex Sans"/>
          <w:color w:val="000000"/>
          <w:sz w:val="20"/>
          <w:szCs w:val="20"/>
          <w:u w:val="single" w:color="000000"/>
        </w:rPr>
        <w:t>Means of verification:</w:t>
      </w:r>
      <w:r w:rsidRPr="00031D7C">
        <w:rPr>
          <w:rFonts w:ascii="Avenir Next" w:eastAsia="IBM Plex Sans" w:hAnsi="Avenir Next" w:cs="IBM Plex Sans"/>
          <w:color w:val="000000"/>
          <w:sz w:val="20"/>
          <w:szCs w:val="20"/>
        </w:rPr>
        <w:t xml:space="preserve"> users should identify any documentation used to support their scoring, including hyperlinks with additional information.  </w:t>
      </w:r>
    </w:p>
    <w:p w14:paraId="708C204D" w14:textId="41152BAC" w:rsidR="00ED7BA2" w:rsidRDefault="00ED7BA2">
      <w:pPr>
        <w:spacing w:before="120" w:after="120" w:line="336" w:lineRule="auto"/>
      </w:pPr>
    </w:p>
    <w:p w14:paraId="35C542C7" w14:textId="77777777" w:rsidR="00C878E5" w:rsidRDefault="00C878E5">
      <w:pPr>
        <w:spacing w:before="120" w:after="120" w:line="336" w:lineRule="auto"/>
      </w:pPr>
    </w:p>
    <w:p w14:paraId="642E751F" w14:textId="77777777" w:rsidR="00C878E5" w:rsidRDefault="00C878E5">
      <w:pPr>
        <w:spacing w:before="120" w:after="120" w:line="336" w:lineRule="auto"/>
      </w:pPr>
    </w:p>
    <w:p w14:paraId="4A0C6C83" w14:textId="77777777" w:rsidR="00C878E5" w:rsidRDefault="00C878E5">
      <w:pPr>
        <w:spacing w:before="120" w:after="120" w:line="336" w:lineRule="auto"/>
      </w:pPr>
    </w:p>
    <w:p w14:paraId="2CB13CBC" w14:textId="77777777" w:rsidR="00C878E5" w:rsidRDefault="00C878E5">
      <w:pPr>
        <w:spacing w:before="120" w:after="120" w:line="336" w:lineRule="auto"/>
      </w:pPr>
    </w:p>
    <w:p w14:paraId="44EC9367" w14:textId="77777777" w:rsidR="00C878E5" w:rsidRDefault="00C878E5">
      <w:pPr>
        <w:spacing w:before="120" w:after="120" w:line="336" w:lineRule="auto"/>
      </w:pPr>
    </w:p>
    <w:p w14:paraId="1B8D993C" w14:textId="77777777" w:rsidR="00C878E5" w:rsidRDefault="00C878E5">
      <w:pPr>
        <w:spacing w:before="120" w:after="120" w:line="336" w:lineRule="auto"/>
      </w:pPr>
    </w:p>
    <w:p w14:paraId="0143505C" w14:textId="77777777" w:rsidR="00C878E5" w:rsidRDefault="00C878E5">
      <w:pPr>
        <w:spacing w:before="120" w:after="120" w:line="336" w:lineRule="auto"/>
      </w:pPr>
    </w:p>
    <w:p w14:paraId="4117B120" w14:textId="77777777" w:rsidR="00C878E5" w:rsidRDefault="00C878E5">
      <w:pPr>
        <w:spacing w:before="120" w:after="120" w:line="336" w:lineRule="auto"/>
      </w:pPr>
    </w:p>
    <w:p w14:paraId="1B09ACDD" w14:textId="77777777" w:rsidR="00C878E5" w:rsidRDefault="00C878E5">
      <w:pPr>
        <w:spacing w:before="120" w:after="120" w:line="336" w:lineRule="auto"/>
        <w:sectPr w:rsidR="00C878E5" w:rsidSect="00A561A9">
          <w:pgSz w:w="11910" w:h="16845"/>
          <w:pgMar w:top="1440" w:right="1440" w:bottom="1440" w:left="1440" w:header="720" w:footer="720" w:gutter="0"/>
          <w:cols w:space="720"/>
        </w:sectPr>
      </w:pPr>
    </w:p>
    <w:p w14:paraId="1C7AB33E" w14:textId="77777777" w:rsidR="00C878E5" w:rsidRDefault="00C878E5">
      <w:pPr>
        <w:spacing w:before="120" w:after="120" w:line="336" w:lineRule="auto"/>
      </w:pPr>
    </w:p>
    <w:p w14:paraId="4AC02D8C" w14:textId="23A5DCE4" w:rsidR="00ED7BA2" w:rsidRPr="00C878E5" w:rsidRDefault="00C878E5">
      <w:pPr>
        <w:spacing w:before="120" w:after="120" w:line="336" w:lineRule="auto"/>
        <w:rPr>
          <w:rFonts w:ascii="Bodoni 72 Book" w:hAnsi="Bodoni 72 Book"/>
        </w:rPr>
      </w:pPr>
      <w:r>
        <w:rPr>
          <w:rFonts w:ascii="Bodoni 72 Book" w:eastAsia="Montserrat" w:hAnsi="Bodoni 72 Book" w:cs="Montserrat"/>
          <w:color w:val="00646A"/>
          <w:sz w:val="64"/>
          <w:szCs w:val="64"/>
        </w:rPr>
        <w:t>Questionnaire</w:t>
      </w:r>
    </w:p>
    <w:p w14:paraId="49A02C33" w14:textId="77777777" w:rsidR="00ED7BA2" w:rsidRDefault="00ED7BA2">
      <w:pPr>
        <w:pBdr>
          <w:bottom w:val="single" w:sz="6" w:space="0" w:color="076C72"/>
        </w:pBdr>
        <w:spacing w:before="120" w:after="120" w:line="0" w:lineRule="auto"/>
      </w:pPr>
    </w:p>
    <w:p w14:paraId="14A3B907" w14:textId="77777777" w:rsidR="0043717F" w:rsidRDefault="0043717F">
      <w:pPr>
        <w:spacing w:before="120" w:after="120" w:line="336" w:lineRule="auto"/>
        <w:rPr>
          <w:rFonts w:ascii="Avenir Next" w:eastAsia="IBM Plex Sans" w:hAnsi="Avenir Next" w:cs="IBM Plex Sans"/>
          <w:color w:val="00646A"/>
          <w:sz w:val="20"/>
          <w:szCs w:val="20"/>
        </w:rPr>
      </w:pPr>
    </w:p>
    <w:tbl>
      <w:tblPr>
        <w:tblStyle w:val="TableGrid"/>
        <w:tblW w:w="14312" w:type="dxa"/>
        <w:tblBorders>
          <w:top w:val="single" w:sz="6" w:space="0" w:color="0D666D"/>
          <w:left w:val="single" w:sz="6" w:space="0" w:color="0D666D"/>
          <w:bottom w:val="single" w:sz="6" w:space="0" w:color="0D666D"/>
          <w:right w:val="single" w:sz="6" w:space="0" w:color="0D666D"/>
          <w:insideH w:val="single" w:sz="6" w:space="0" w:color="0D666D"/>
          <w:insideV w:val="single" w:sz="6" w:space="0" w:color="0D666D"/>
        </w:tblBorders>
        <w:tblLook w:val="04A0" w:firstRow="1" w:lastRow="0" w:firstColumn="1" w:lastColumn="0" w:noHBand="0" w:noVBand="1"/>
      </w:tblPr>
      <w:tblGrid>
        <w:gridCol w:w="4248"/>
        <w:gridCol w:w="2126"/>
        <w:gridCol w:w="4360"/>
        <w:gridCol w:w="3578"/>
      </w:tblGrid>
      <w:tr w:rsidR="00C878E5" w14:paraId="291ECF35" w14:textId="77777777" w:rsidTr="00C878E5">
        <w:tc>
          <w:tcPr>
            <w:tcW w:w="14312" w:type="dxa"/>
            <w:gridSpan w:val="4"/>
            <w:shd w:val="clear" w:color="auto" w:fill="00636A"/>
            <w:vAlign w:val="center"/>
          </w:tcPr>
          <w:p w14:paraId="7C10BC90" w14:textId="6CA2F1E1" w:rsidR="00C878E5" w:rsidRPr="00C878E5" w:rsidRDefault="00C878E5" w:rsidP="00C878E5">
            <w:pPr>
              <w:widowControl w:val="0"/>
              <w:autoSpaceDE w:val="0"/>
              <w:autoSpaceDN w:val="0"/>
              <w:spacing w:before="67"/>
              <w:rPr>
                <w:rFonts w:ascii="Avenir Next" w:hAnsi="Avenir Next"/>
                <w:color w:val="FFFFFF" w:themeColor="background1"/>
              </w:rPr>
            </w:pPr>
            <w:r w:rsidRPr="00C878E5">
              <w:rPr>
                <w:rFonts w:ascii="Avenir Next" w:hAnsi="Avenir Next"/>
                <w:color w:val="FFFFFF" w:themeColor="background1"/>
              </w:rPr>
              <w:t>Country driven:</w:t>
            </w:r>
            <w:r w:rsidRPr="00C878E5">
              <w:rPr>
                <w:rFonts w:ascii="Avenir Next" w:hAnsi="Avenir Next"/>
                <w:b/>
                <w:bCs/>
                <w:color w:val="FFFFFF" w:themeColor="background1"/>
                <w:sz w:val="32"/>
                <w:szCs w:val="32"/>
              </w:rPr>
              <w:t xml:space="preserve"> </w:t>
            </w:r>
            <w:r w:rsidRPr="00C878E5">
              <w:rPr>
                <w:rFonts w:ascii="Avenir Next Ultra Light" w:hAnsi="Avenir Next Ultra Light"/>
                <w:color w:val="FFFFFF" w:themeColor="background1"/>
                <w:sz w:val="20"/>
                <w:szCs w:val="20"/>
              </w:rPr>
              <w:t>the SIS is consistent with national sovereignty, national legislation and national circumstances, including building upon relevant systems and institutional arrangements</w:t>
            </w:r>
            <w:r w:rsidRPr="00C878E5">
              <w:rPr>
                <w:rStyle w:val="FootnoteReference"/>
                <w:rFonts w:ascii="Avenir Next Ultra Light" w:hAnsi="Avenir Next Ultra Light"/>
                <w:color w:val="FFFFFF" w:themeColor="background1"/>
                <w:sz w:val="20"/>
                <w:szCs w:val="20"/>
              </w:rPr>
              <w:footnoteReference w:id="5"/>
            </w:r>
            <w:r w:rsidRPr="00C878E5">
              <w:rPr>
                <w:rFonts w:ascii="Avenir Next Ultra Light" w:hAnsi="Avenir Next Ultra Light"/>
                <w:color w:val="FFFFFF" w:themeColor="background1"/>
                <w:sz w:val="20"/>
                <w:szCs w:val="20"/>
              </w:rPr>
              <w:t xml:space="preserve"> </w:t>
            </w:r>
            <w:r w:rsidRPr="00C878E5">
              <w:rPr>
                <w:rFonts w:ascii="Avenir Next Ultra Light" w:hAnsi="Avenir Next Ultra Light"/>
                <w:color w:val="FFFFFF" w:themeColor="background1"/>
                <w:sz w:val="20"/>
                <w:szCs w:val="20"/>
                <w:vertAlign w:val="superscript"/>
              </w:rPr>
              <w:footnoteReference w:id="6"/>
            </w:r>
            <w:r w:rsidRPr="00C878E5">
              <w:rPr>
                <w:rFonts w:ascii="Avenir Next Ultra Light" w:hAnsi="Avenir Next Ultra Light"/>
                <w:color w:val="FFFFFF" w:themeColor="background1"/>
              </w:rPr>
              <w:t xml:space="preserve"> </w:t>
            </w:r>
          </w:p>
        </w:tc>
      </w:tr>
      <w:tr w:rsidR="00C878E5" w:rsidRPr="00DC5B18" w14:paraId="79633B58" w14:textId="77777777" w:rsidTr="0043717F">
        <w:trPr>
          <w:trHeight w:val="633"/>
        </w:trPr>
        <w:tc>
          <w:tcPr>
            <w:tcW w:w="4248" w:type="dxa"/>
            <w:shd w:val="clear" w:color="auto" w:fill="BDCEC9"/>
            <w:vAlign w:val="center"/>
          </w:tcPr>
          <w:p w14:paraId="1DFFF780" w14:textId="77777777" w:rsidR="00C878E5" w:rsidRPr="00017EC5" w:rsidRDefault="00C878E5" w:rsidP="00C878E5">
            <w:pPr>
              <w:jc w:val="center"/>
              <w:rPr>
                <w:rFonts w:ascii="Bodoni 72 Book" w:hAnsi="Bodoni 72 Book"/>
                <w:sz w:val="22"/>
                <w:szCs w:val="22"/>
              </w:rPr>
            </w:pPr>
            <w:r w:rsidRPr="00017EC5">
              <w:rPr>
                <w:rFonts w:ascii="Bodoni 72 Book" w:hAnsi="Bodoni 72 Book"/>
                <w:sz w:val="22"/>
                <w:szCs w:val="22"/>
              </w:rPr>
              <w:t>Questions</w:t>
            </w:r>
          </w:p>
        </w:tc>
        <w:tc>
          <w:tcPr>
            <w:tcW w:w="2126" w:type="dxa"/>
            <w:shd w:val="clear" w:color="auto" w:fill="BDCEC9"/>
            <w:vAlign w:val="center"/>
          </w:tcPr>
          <w:p w14:paraId="7FC6BBC5" w14:textId="77777777" w:rsidR="00C878E5" w:rsidRPr="00017EC5" w:rsidRDefault="00C878E5" w:rsidP="00C878E5">
            <w:pPr>
              <w:jc w:val="center"/>
              <w:rPr>
                <w:rFonts w:ascii="Bodoni 72 Book" w:hAnsi="Bodoni 72 Book"/>
                <w:sz w:val="22"/>
                <w:szCs w:val="22"/>
              </w:rPr>
            </w:pPr>
            <w:r w:rsidRPr="00017EC5">
              <w:rPr>
                <w:rFonts w:ascii="Bodoni 72 Book" w:hAnsi="Bodoni 72 Book"/>
                <w:sz w:val="22"/>
                <w:szCs w:val="22"/>
              </w:rPr>
              <w:t>Scoring</w:t>
            </w:r>
          </w:p>
          <w:p w14:paraId="061E5F58" w14:textId="77777777" w:rsidR="00C878E5" w:rsidRPr="00017EC5" w:rsidRDefault="00C878E5" w:rsidP="00C878E5">
            <w:pPr>
              <w:jc w:val="center"/>
              <w:rPr>
                <w:rFonts w:ascii="Bodoni 72 Book" w:hAnsi="Bodoni 72 Book"/>
                <w:sz w:val="22"/>
                <w:szCs w:val="22"/>
              </w:rPr>
            </w:pPr>
            <w:r w:rsidRPr="00017EC5">
              <w:rPr>
                <w:rFonts w:ascii="Bodoni 72 Book" w:hAnsi="Bodoni 72 Book"/>
                <w:sz w:val="22"/>
                <w:szCs w:val="22"/>
              </w:rPr>
              <w:t>(Yes/No/Partially)</w:t>
            </w:r>
          </w:p>
        </w:tc>
        <w:tc>
          <w:tcPr>
            <w:tcW w:w="4360" w:type="dxa"/>
            <w:shd w:val="clear" w:color="auto" w:fill="BDCEC9"/>
            <w:vAlign w:val="center"/>
          </w:tcPr>
          <w:p w14:paraId="563C604D" w14:textId="77777777" w:rsidR="00C878E5" w:rsidRPr="00017EC5" w:rsidRDefault="00C878E5" w:rsidP="00C878E5">
            <w:pPr>
              <w:jc w:val="center"/>
              <w:rPr>
                <w:rFonts w:ascii="Bodoni 72 Book" w:hAnsi="Bodoni 72 Book"/>
                <w:sz w:val="22"/>
                <w:szCs w:val="22"/>
              </w:rPr>
            </w:pPr>
            <w:r w:rsidRPr="00017EC5">
              <w:rPr>
                <w:rFonts w:ascii="Bodoni 72 Book" w:hAnsi="Bodoni 72 Book"/>
                <w:sz w:val="22"/>
                <w:szCs w:val="22"/>
              </w:rPr>
              <w:t>Findings</w:t>
            </w:r>
          </w:p>
        </w:tc>
        <w:tc>
          <w:tcPr>
            <w:tcW w:w="3578" w:type="dxa"/>
            <w:shd w:val="clear" w:color="auto" w:fill="BDCEC9"/>
            <w:vAlign w:val="center"/>
          </w:tcPr>
          <w:p w14:paraId="65473FB0" w14:textId="77777777" w:rsidR="00C878E5" w:rsidRPr="00017EC5" w:rsidRDefault="00C878E5" w:rsidP="00C878E5">
            <w:pPr>
              <w:jc w:val="center"/>
              <w:rPr>
                <w:rFonts w:ascii="Bodoni 72 Book" w:hAnsi="Bodoni 72 Book"/>
                <w:sz w:val="22"/>
                <w:szCs w:val="22"/>
              </w:rPr>
            </w:pPr>
            <w:r w:rsidRPr="00017EC5">
              <w:rPr>
                <w:rFonts w:ascii="Bodoni 72 Book" w:hAnsi="Bodoni 72 Book"/>
                <w:sz w:val="22"/>
                <w:szCs w:val="22"/>
              </w:rPr>
              <w:t>Means of verification</w:t>
            </w:r>
          </w:p>
        </w:tc>
      </w:tr>
      <w:tr w:rsidR="00C878E5" w:rsidRPr="00DC5B18" w14:paraId="2FED60AA" w14:textId="77777777" w:rsidTr="0043717F">
        <w:tc>
          <w:tcPr>
            <w:tcW w:w="4248" w:type="dxa"/>
            <w:vAlign w:val="center"/>
          </w:tcPr>
          <w:p w14:paraId="6EE89B33" w14:textId="77777777" w:rsidR="00C878E5" w:rsidRPr="00C878E5" w:rsidRDefault="00C878E5" w:rsidP="0043717F">
            <w:pPr>
              <w:pStyle w:val="ListParagraph"/>
              <w:numPr>
                <w:ilvl w:val="0"/>
                <w:numId w:val="14"/>
              </w:numPr>
              <w:rPr>
                <w:rFonts w:ascii="Avenir Next" w:hAnsi="Avenir Next"/>
                <w:b/>
                <w:bCs/>
                <w:sz w:val="20"/>
                <w:szCs w:val="20"/>
              </w:rPr>
            </w:pPr>
            <w:r w:rsidRPr="00C878E5">
              <w:rPr>
                <w:rFonts w:ascii="Avenir Next" w:hAnsi="Avenir Next"/>
                <w:sz w:val="20"/>
                <w:szCs w:val="20"/>
              </w:rPr>
              <w:t>Does the SIS (or equivalent) determine its objectives and how they are aligned with domestic priorities/commitments?</w:t>
            </w:r>
          </w:p>
          <w:p w14:paraId="6C96D382" w14:textId="77777777" w:rsidR="00C878E5" w:rsidRPr="00C878E5" w:rsidRDefault="00C878E5" w:rsidP="0043717F">
            <w:pPr>
              <w:pStyle w:val="ListParagraph"/>
              <w:rPr>
                <w:rFonts w:ascii="Avenir Next" w:hAnsi="Avenir Next"/>
                <w:b/>
                <w:bCs/>
                <w:sz w:val="20"/>
                <w:szCs w:val="20"/>
              </w:rPr>
            </w:pPr>
            <w:r w:rsidRPr="00C878E5">
              <w:rPr>
                <w:rFonts w:ascii="Avenir Next" w:hAnsi="Avenir Next"/>
                <w:sz w:val="20"/>
                <w:szCs w:val="20"/>
              </w:rPr>
              <w:t xml:space="preserve"> </w:t>
            </w:r>
          </w:p>
        </w:tc>
        <w:tc>
          <w:tcPr>
            <w:tcW w:w="2126" w:type="dxa"/>
          </w:tcPr>
          <w:p w14:paraId="713D164A" w14:textId="77777777" w:rsidR="00C878E5" w:rsidRPr="00C878E5" w:rsidRDefault="00C878E5" w:rsidP="00CE0AF6">
            <w:pPr>
              <w:jc w:val="center"/>
              <w:rPr>
                <w:rFonts w:ascii="Avenir Next" w:hAnsi="Avenir Next"/>
                <w:b/>
                <w:bCs/>
                <w:sz w:val="20"/>
                <w:szCs w:val="20"/>
              </w:rPr>
            </w:pPr>
          </w:p>
        </w:tc>
        <w:tc>
          <w:tcPr>
            <w:tcW w:w="4360" w:type="dxa"/>
          </w:tcPr>
          <w:p w14:paraId="4F8CFCA8" w14:textId="77777777" w:rsidR="00C878E5" w:rsidRPr="00C878E5" w:rsidRDefault="00C878E5" w:rsidP="00CE0AF6">
            <w:pPr>
              <w:jc w:val="center"/>
              <w:rPr>
                <w:rFonts w:ascii="Avenir Next" w:hAnsi="Avenir Next"/>
                <w:b/>
                <w:bCs/>
                <w:sz w:val="20"/>
                <w:szCs w:val="20"/>
              </w:rPr>
            </w:pPr>
          </w:p>
        </w:tc>
        <w:tc>
          <w:tcPr>
            <w:tcW w:w="3578" w:type="dxa"/>
          </w:tcPr>
          <w:p w14:paraId="6EC5A8E6" w14:textId="77777777" w:rsidR="00C878E5" w:rsidRPr="00C878E5" w:rsidRDefault="00C878E5" w:rsidP="00CE0AF6">
            <w:pPr>
              <w:jc w:val="center"/>
              <w:rPr>
                <w:rFonts w:ascii="Avenir Next" w:hAnsi="Avenir Next"/>
                <w:b/>
                <w:bCs/>
                <w:sz w:val="20"/>
                <w:szCs w:val="20"/>
              </w:rPr>
            </w:pPr>
          </w:p>
        </w:tc>
      </w:tr>
      <w:tr w:rsidR="00C878E5" w:rsidRPr="00DC5B18" w14:paraId="42F8A217" w14:textId="77777777" w:rsidTr="0043717F">
        <w:tc>
          <w:tcPr>
            <w:tcW w:w="4248" w:type="dxa"/>
            <w:vAlign w:val="center"/>
          </w:tcPr>
          <w:p w14:paraId="40A21CD2" w14:textId="77777777" w:rsidR="00C878E5" w:rsidRPr="00C878E5" w:rsidRDefault="00C878E5" w:rsidP="0043717F">
            <w:pPr>
              <w:pStyle w:val="ListParagraph"/>
              <w:numPr>
                <w:ilvl w:val="0"/>
                <w:numId w:val="14"/>
              </w:numPr>
              <w:rPr>
                <w:rFonts w:ascii="Avenir Next" w:hAnsi="Avenir Next"/>
                <w:sz w:val="20"/>
                <w:szCs w:val="20"/>
              </w:rPr>
            </w:pPr>
            <w:r w:rsidRPr="00C878E5">
              <w:rPr>
                <w:rFonts w:ascii="Avenir Next" w:hAnsi="Avenir Next"/>
                <w:sz w:val="20"/>
                <w:szCs w:val="20"/>
              </w:rPr>
              <w:t>Does the SIS (or equivalent) determine the functions of the SIS, as well as how such functions will be carried out?</w:t>
            </w:r>
          </w:p>
          <w:p w14:paraId="26386D92" w14:textId="77777777" w:rsidR="00C878E5" w:rsidRPr="00C878E5" w:rsidRDefault="00C878E5" w:rsidP="0043717F">
            <w:pPr>
              <w:pStyle w:val="ListParagraph"/>
              <w:rPr>
                <w:rFonts w:ascii="Avenir Next" w:hAnsi="Avenir Next"/>
                <w:sz w:val="20"/>
                <w:szCs w:val="20"/>
              </w:rPr>
            </w:pPr>
          </w:p>
        </w:tc>
        <w:tc>
          <w:tcPr>
            <w:tcW w:w="2126" w:type="dxa"/>
          </w:tcPr>
          <w:p w14:paraId="5DD0463D" w14:textId="77777777" w:rsidR="00C878E5" w:rsidRPr="00C878E5" w:rsidRDefault="00C878E5" w:rsidP="00CE0AF6">
            <w:pPr>
              <w:jc w:val="center"/>
              <w:rPr>
                <w:rFonts w:ascii="Avenir Next" w:hAnsi="Avenir Next"/>
                <w:b/>
                <w:bCs/>
                <w:sz w:val="20"/>
                <w:szCs w:val="20"/>
              </w:rPr>
            </w:pPr>
          </w:p>
        </w:tc>
        <w:tc>
          <w:tcPr>
            <w:tcW w:w="4360" w:type="dxa"/>
          </w:tcPr>
          <w:p w14:paraId="1A2387F3" w14:textId="77777777" w:rsidR="00C878E5" w:rsidRPr="00C878E5" w:rsidRDefault="00C878E5" w:rsidP="00CE0AF6">
            <w:pPr>
              <w:jc w:val="center"/>
              <w:rPr>
                <w:rFonts w:ascii="Avenir Next" w:hAnsi="Avenir Next"/>
                <w:b/>
                <w:bCs/>
                <w:sz w:val="20"/>
                <w:szCs w:val="20"/>
              </w:rPr>
            </w:pPr>
          </w:p>
        </w:tc>
        <w:tc>
          <w:tcPr>
            <w:tcW w:w="3578" w:type="dxa"/>
          </w:tcPr>
          <w:p w14:paraId="60233D6F" w14:textId="77777777" w:rsidR="00C878E5" w:rsidRPr="00C878E5" w:rsidRDefault="00C878E5" w:rsidP="00CE0AF6">
            <w:pPr>
              <w:jc w:val="center"/>
              <w:rPr>
                <w:rFonts w:ascii="Avenir Next" w:hAnsi="Avenir Next"/>
                <w:b/>
                <w:bCs/>
                <w:sz w:val="20"/>
                <w:szCs w:val="20"/>
              </w:rPr>
            </w:pPr>
          </w:p>
        </w:tc>
      </w:tr>
      <w:tr w:rsidR="00C878E5" w:rsidRPr="00DC5B18" w14:paraId="4CCC8317" w14:textId="77777777" w:rsidTr="0043717F">
        <w:tc>
          <w:tcPr>
            <w:tcW w:w="4248" w:type="dxa"/>
            <w:vAlign w:val="center"/>
          </w:tcPr>
          <w:p w14:paraId="576F333B" w14:textId="77777777" w:rsidR="00C878E5" w:rsidRPr="00C878E5" w:rsidRDefault="00C878E5" w:rsidP="0043717F">
            <w:pPr>
              <w:pStyle w:val="ListParagraph"/>
              <w:numPr>
                <w:ilvl w:val="0"/>
                <w:numId w:val="14"/>
              </w:numPr>
              <w:rPr>
                <w:rFonts w:ascii="Avenir Next" w:hAnsi="Avenir Next"/>
                <w:sz w:val="20"/>
                <w:szCs w:val="20"/>
              </w:rPr>
            </w:pPr>
            <w:r w:rsidRPr="00C878E5">
              <w:rPr>
                <w:rFonts w:ascii="Avenir Next" w:hAnsi="Avenir Next"/>
                <w:sz w:val="20"/>
                <w:szCs w:val="20"/>
              </w:rPr>
              <w:t>Does the SIS (or equivalent) determine function(s) and/or processes to ensure the quality assurance, accuracy and comprehensiveness of information collected and provided by the SIS?</w:t>
            </w:r>
          </w:p>
          <w:p w14:paraId="600D4755" w14:textId="77777777" w:rsidR="00C878E5" w:rsidRPr="00C878E5" w:rsidRDefault="00C878E5" w:rsidP="0043717F">
            <w:pPr>
              <w:pStyle w:val="ListParagraph"/>
              <w:rPr>
                <w:rFonts w:ascii="Avenir Next" w:hAnsi="Avenir Next"/>
                <w:sz w:val="20"/>
                <w:szCs w:val="20"/>
              </w:rPr>
            </w:pPr>
          </w:p>
        </w:tc>
        <w:tc>
          <w:tcPr>
            <w:tcW w:w="2126" w:type="dxa"/>
          </w:tcPr>
          <w:p w14:paraId="78766D1B" w14:textId="77777777" w:rsidR="00C878E5" w:rsidRPr="00C878E5" w:rsidRDefault="00C878E5" w:rsidP="00CE0AF6">
            <w:pPr>
              <w:jc w:val="center"/>
              <w:rPr>
                <w:rFonts w:ascii="Avenir Next" w:hAnsi="Avenir Next"/>
                <w:b/>
                <w:bCs/>
                <w:sz w:val="20"/>
                <w:szCs w:val="20"/>
              </w:rPr>
            </w:pPr>
          </w:p>
        </w:tc>
        <w:tc>
          <w:tcPr>
            <w:tcW w:w="4360" w:type="dxa"/>
          </w:tcPr>
          <w:p w14:paraId="72448DDB" w14:textId="77777777" w:rsidR="00C878E5" w:rsidRPr="00C878E5" w:rsidRDefault="00C878E5" w:rsidP="00CE0AF6">
            <w:pPr>
              <w:jc w:val="center"/>
              <w:rPr>
                <w:rFonts w:ascii="Avenir Next" w:hAnsi="Avenir Next"/>
                <w:b/>
                <w:bCs/>
                <w:sz w:val="20"/>
                <w:szCs w:val="20"/>
              </w:rPr>
            </w:pPr>
          </w:p>
        </w:tc>
        <w:tc>
          <w:tcPr>
            <w:tcW w:w="3578" w:type="dxa"/>
          </w:tcPr>
          <w:p w14:paraId="4B02FDB9" w14:textId="77777777" w:rsidR="00C878E5" w:rsidRPr="00C878E5" w:rsidRDefault="00C878E5" w:rsidP="00CE0AF6">
            <w:pPr>
              <w:jc w:val="center"/>
              <w:rPr>
                <w:rFonts w:ascii="Avenir Next" w:hAnsi="Avenir Next"/>
                <w:b/>
                <w:bCs/>
                <w:sz w:val="20"/>
                <w:szCs w:val="20"/>
              </w:rPr>
            </w:pPr>
          </w:p>
        </w:tc>
      </w:tr>
      <w:tr w:rsidR="00C878E5" w:rsidRPr="00DC5B18" w14:paraId="046F73F1" w14:textId="77777777" w:rsidTr="0043717F">
        <w:tc>
          <w:tcPr>
            <w:tcW w:w="4248" w:type="dxa"/>
            <w:vAlign w:val="center"/>
          </w:tcPr>
          <w:p w14:paraId="5CCDDDE0" w14:textId="77777777" w:rsidR="00C878E5" w:rsidRPr="00C878E5" w:rsidRDefault="00C878E5" w:rsidP="0043717F">
            <w:pPr>
              <w:pStyle w:val="ListParagraph"/>
              <w:numPr>
                <w:ilvl w:val="0"/>
                <w:numId w:val="14"/>
              </w:numPr>
              <w:rPr>
                <w:rFonts w:ascii="Avenir Next" w:hAnsi="Avenir Next"/>
                <w:sz w:val="20"/>
                <w:szCs w:val="20"/>
              </w:rPr>
            </w:pPr>
            <w:r w:rsidRPr="00C878E5">
              <w:rPr>
                <w:rFonts w:ascii="Avenir Next" w:hAnsi="Avenir Next"/>
                <w:sz w:val="20"/>
                <w:szCs w:val="20"/>
              </w:rPr>
              <w:t xml:space="preserve">Does the SIS (or equivalent) determine ‘who’ [i.e. single government institution and/or combination of governmental and non-governmental actors] will be involved in the operation of the SIS?  </w:t>
            </w:r>
          </w:p>
          <w:p w14:paraId="60C5B004" w14:textId="77777777" w:rsidR="00C878E5" w:rsidRPr="00C878E5" w:rsidRDefault="00C878E5" w:rsidP="0043717F">
            <w:pPr>
              <w:pStyle w:val="ListParagraph"/>
              <w:rPr>
                <w:rFonts w:ascii="Avenir Next" w:hAnsi="Avenir Next"/>
                <w:sz w:val="20"/>
                <w:szCs w:val="20"/>
              </w:rPr>
            </w:pPr>
          </w:p>
        </w:tc>
        <w:tc>
          <w:tcPr>
            <w:tcW w:w="2126" w:type="dxa"/>
          </w:tcPr>
          <w:p w14:paraId="1AFE7AE6" w14:textId="77777777" w:rsidR="00C878E5" w:rsidRPr="00C878E5" w:rsidRDefault="00C878E5" w:rsidP="00CE0AF6">
            <w:pPr>
              <w:jc w:val="center"/>
              <w:rPr>
                <w:rFonts w:ascii="Avenir Next" w:hAnsi="Avenir Next"/>
                <w:b/>
                <w:bCs/>
                <w:sz w:val="20"/>
                <w:szCs w:val="20"/>
              </w:rPr>
            </w:pPr>
          </w:p>
        </w:tc>
        <w:tc>
          <w:tcPr>
            <w:tcW w:w="4360" w:type="dxa"/>
          </w:tcPr>
          <w:p w14:paraId="2FBD7D2E" w14:textId="77777777" w:rsidR="00C878E5" w:rsidRPr="00C878E5" w:rsidRDefault="00C878E5" w:rsidP="00CE0AF6">
            <w:pPr>
              <w:jc w:val="center"/>
              <w:rPr>
                <w:rFonts w:ascii="Avenir Next" w:hAnsi="Avenir Next"/>
                <w:b/>
                <w:bCs/>
                <w:sz w:val="20"/>
                <w:szCs w:val="20"/>
              </w:rPr>
            </w:pPr>
          </w:p>
        </w:tc>
        <w:tc>
          <w:tcPr>
            <w:tcW w:w="3578" w:type="dxa"/>
          </w:tcPr>
          <w:p w14:paraId="13782D53" w14:textId="77777777" w:rsidR="00C878E5" w:rsidRPr="00C878E5" w:rsidRDefault="00C878E5" w:rsidP="00CE0AF6">
            <w:pPr>
              <w:jc w:val="center"/>
              <w:rPr>
                <w:rFonts w:ascii="Avenir Next" w:hAnsi="Avenir Next"/>
                <w:b/>
                <w:bCs/>
                <w:sz w:val="20"/>
                <w:szCs w:val="20"/>
              </w:rPr>
            </w:pPr>
          </w:p>
        </w:tc>
      </w:tr>
      <w:tr w:rsidR="00C878E5" w:rsidRPr="00DC5B18" w14:paraId="7636F20C" w14:textId="77777777" w:rsidTr="0043717F">
        <w:tc>
          <w:tcPr>
            <w:tcW w:w="4248" w:type="dxa"/>
            <w:vAlign w:val="center"/>
          </w:tcPr>
          <w:p w14:paraId="42BF8D29" w14:textId="77777777" w:rsidR="00C878E5" w:rsidRPr="00C878E5" w:rsidRDefault="00C878E5" w:rsidP="0043717F">
            <w:pPr>
              <w:pStyle w:val="ListParagraph"/>
              <w:numPr>
                <w:ilvl w:val="0"/>
                <w:numId w:val="14"/>
              </w:numPr>
              <w:rPr>
                <w:rFonts w:ascii="Avenir Next" w:hAnsi="Avenir Next"/>
                <w:sz w:val="20"/>
                <w:szCs w:val="20"/>
              </w:rPr>
            </w:pPr>
            <w:r w:rsidRPr="00C878E5">
              <w:rPr>
                <w:rFonts w:ascii="Avenir Next" w:hAnsi="Avenir Next"/>
                <w:sz w:val="20"/>
                <w:szCs w:val="20"/>
              </w:rPr>
              <w:t xml:space="preserve">Does the SIS (or equivalent) determine ‘who’ will perform the different functions of the SIS?  </w:t>
            </w:r>
          </w:p>
          <w:p w14:paraId="499748F8" w14:textId="77777777" w:rsidR="00C878E5" w:rsidRPr="00C878E5" w:rsidRDefault="00C878E5" w:rsidP="0043717F">
            <w:pPr>
              <w:pStyle w:val="ListParagraph"/>
              <w:rPr>
                <w:rFonts w:ascii="Avenir Next" w:hAnsi="Avenir Next"/>
                <w:sz w:val="20"/>
                <w:szCs w:val="20"/>
              </w:rPr>
            </w:pPr>
          </w:p>
        </w:tc>
        <w:tc>
          <w:tcPr>
            <w:tcW w:w="2126" w:type="dxa"/>
          </w:tcPr>
          <w:p w14:paraId="4BD71B39" w14:textId="77777777" w:rsidR="00C878E5" w:rsidRPr="00C878E5" w:rsidRDefault="00C878E5" w:rsidP="00CE0AF6">
            <w:pPr>
              <w:jc w:val="center"/>
              <w:rPr>
                <w:rFonts w:ascii="Avenir Next" w:hAnsi="Avenir Next"/>
                <w:b/>
                <w:bCs/>
                <w:sz w:val="20"/>
                <w:szCs w:val="20"/>
              </w:rPr>
            </w:pPr>
          </w:p>
        </w:tc>
        <w:tc>
          <w:tcPr>
            <w:tcW w:w="4360" w:type="dxa"/>
          </w:tcPr>
          <w:p w14:paraId="163C3E57" w14:textId="77777777" w:rsidR="00C878E5" w:rsidRPr="00C878E5" w:rsidRDefault="00C878E5" w:rsidP="00CE0AF6">
            <w:pPr>
              <w:jc w:val="center"/>
              <w:rPr>
                <w:rFonts w:ascii="Avenir Next" w:hAnsi="Avenir Next"/>
                <w:b/>
                <w:bCs/>
                <w:sz w:val="20"/>
                <w:szCs w:val="20"/>
              </w:rPr>
            </w:pPr>
          </w:p>
        </w:tc>
        <w:tc>
          <w:tcPr>
            <w:tcW w:w="3578" w:type="dxa"/>
          </w:tcPr>
          <w:p w14:paraId="203040E9" w14:textId="77777777" w:rsidR="00C878E5" w:rsidRPr="00C878E5" w:rsidRDefault="00C878E5" w:rsidP="00CE0AF6">
            <w:pPr>
              <w:jc w:val="center"/>
              <w:rPr>
                <w:rFonts w:ascii="Avenir Next" w:hAnsi="Avenir Next"/>
                <w:b/>
                <w:bCs/>
                <w:sz w:val="20"/>
                <w:szCs w:val="20"/>
              </w:rPr>
            </w:pPr>
          </w:p>
        </w:tc>
      </w:tr>
      <w:tr w:rsidR="00C878E5" w:rsidRPr="00820CD7" w14:paraId="77A02023" w14:textId="77777777" w:rsidTr="0043717F">
        <w:tc>
          <w:tcPr>
            <w:tcW w:w="14312" w:type="dxa"/>
            <w:gridSpan w:val="4"/>
            <w:shd w:val="clear" w:color="auto" w:fill="00636A"/>
            <w:vAlign w:val="center"/>
          </w:tcPr>
          <w:p w14:paraId="34F0BA89" w14:textId="77777777" w:rsidR="00C878E5" w:rsidRPr="00017EC5" w:rsidRDefault="00C878E5" w:rsidP="0043717F">
            <w:pPr>
              <w:rPr>
                <w:rFonts w:ascii="Avenir Next" w:hAnsi="Avenir Next" w:cs="Calibri"/>
                <w:b/>
                <w:bCs/>
                <w:iCs/>
                <w:color w:val="FFFFFF" w:themeColor="background1"/>
                <w:sz w:val="20"/>
                <w:szCs w:val="20"/>
              </w:rPr>
            </w:pPr>
            <w:r w:rsidRPr="00017EC5">
              <w:rPr>
                <w:rFonts w:ascii="Avenir Next" w:hAnsi="Avenir Next" w:cs="Calibri"/>
                <w:iCs/>
                <w:color w:val="FFFFFF" w:themeColor="background1"/>
                <w:sz w:val="20"/>
                <w:szCs w:val="20"/>
              </w:rPr>
              <w:t>Transparency</w:t>
            </w:r>
            <w:r w:rsidRPr="00017EC5">
              <w:rPr>
                <w:rFonts w:ascii="Avenir Next" w:hAnsi="Avenir Next" w:cs="Calibri"/>
                <w:b/>
                <w:bCs/>
                <w:iCs/>
                <w:color w:val="FFFFFF" w:themeColor="background1"/>
                <w:sz w:val="20"/>
                <w:szCs w:val="20"/>
              </w:rPr>
              <w:t xml:space="preserve">: </w:t>
            </w:r>
            <w:r w:rsidRPr="00017EC5">
              <w:rPr>
                <w:rFonts w:ascii="Avenir Next Ultra Light" w:hAnsi="Avenir Next Ultra Light"/>
                <w:color w:val="FFFFFF" w:themeColor="background1"/>
                <w:sz w:val="20"/>
                <w:szCs w:val="20"/>
              </w:rPr>
              <w:t>the SIS will provide transparent information on a regular basis</w:t>
            </w:r>
            <w:r w:rsidRPr="00017EC5">
              <w:rPr>
                <w:rStyle w:val="FootnoteReference"/>
                <w:rFonts w:ascii="Avenir Next Ultra Light" w:hAnsi="Avenir Next Ultra Light" w:cs="Calibri"/>
                <w:color w:val="FFFFFF" w:themeColor="background1"/>
                <w:sz w:val="20"/>
                <w:szCs w:val="20"/>
              </w:rPr>
              <w:t xml:space="preserve"> </w:t>
            </w:r>
            <w:r w:rsidRPr="00017EC5">
              <w:rPr>
                <w:rStyle w:val="FootnoteReference"/>
                <w:rFonts w:ascii="Avenir Next Ultra Light" w:hAnsi="Avenir Next Ultra Light" w:cs="Calibri"/>
                <w:color w:val="FFFFFF" w:themeColor="background1"/>
                <w:sz w:val="20"/>
                <w:szCs w:val="20"/>
              </w:rPr>
              <w:footnoteReference w:id="7"/>
            </w:r>
          </w:p>
          <w:p w14:paraId="1230DD22" w14:textId="77777777" w:rsidR="00C878E5" w:rsidRPr="00C878E5" w:rsidRDefault="00C878E5" w:rsidP="0043717F">
            <w:pPr>
              <w:rPr>
                <w:rFonts w:ascii="Avenir Next" w:hAnsi="Avenir Next"/>
                <w:b/>
                <w:bCs/>
                <w:sz w:val="20"/>
                <w:szCs w:val="20"/>
              </w:rPr>
            </w:pPr>
          </w:p>
        </w:tc>
      </w:tr>
      <w:tr w:rsidR="00C878E5" w:rsidRPr="00DC5B18" w14:paraId="4D637FA4" w14:textId="77777777" w:rsidTr="0043717F">
        <w:trPr>
          <w:trHeight w:val="696"/>
        </w:trPr>
        <w:tc>
          <w:tcPr>
            <w:tcW w:w="4248" w:type="dxa"/>
            <w:shd w:val="clear" w:color="auto" w:fill="BDCEC9"/>
            <w:vAlign w:val="center"/>
          </w:tcPr>
          <w:p w14:paraId="54FDE729" w14:textId="77777777" w:rsidR="00C878E5" w:rsidRPr="00017EC5" w:rsidRDefault="00C878E5" w:rsidP="0043717F">
            <w:pPr>
              <w:rPr>
                <w:rFonts w:ascii="Bodoni 72 Book" w:hAnsi="Bodoni 72 Book"/>
                <w:sz w:val="22"/>
                <w:szCs w:val="22"/>
              </w:rPr>
            </w:pPr>
            <w:r w:rsidRPr="00017EC5">
              <w:rPr>
                <w:rFonts w:ascii="Bodoni 72 Book" w:hAnsi="Bodoni 72 Book"/>
                <w:sz w:val="22"/>
                <w:szCs w:val="22"/>
              </w:rPr>
              <w:t>Questions</w:t>
            </w:r>
          </w:p>
        </w:tc>
        <w:tc>
          <w:tcPr>
            <w:tcW w:w="2126" w:type="dxa"/>
            <w:shd w:val="clear" w:color="auto" w:fill="BDCEC9"/>
            <w:vAlign w:val="center"/>
          </w:tcPr>
          <w:p w14:paraId="2B99E0E5" w14:textId="77777777" w:rsidR="00C878E5" w:rsidRPr="00017EC5" w:rsidRDefault="00C878E5" w:rsidP="00017EC5">
            <w:pPr>
              <w:jc w:val="center"/>
              <w:rPr>
                <w:rFonts w:ascii="Bodoni 72 Book" w:hAnsi="Bodoni 72 Book"/>
                <w:sz w:val="22"/>
                <w:szCs w:val="22"/>
              </w:rPr>
            </w:pPr>
            <w:r w:rsidRPr="00017EC5">
              <w:rPr>
                <w:rFonts w:ascii="Bodoni 72 Book" w:hAnsi="Bodoni 72 Book"/>
                <w:sz w:val="22"/>
                <w:szCs w:val="22"/>
              </w:rPr>
              <w:t>Scoring</w:t>
            </w:r>
          </w:p>
          <w:p w14:paraId="4955723B" w14:textId="77777777" w:rsidR="00C878E5" w:rsidRPr="00017EC5" w:rsidRDefault="00C878E5" w:rsidP="00017EC5">
            <w:pPr>
              <w:jc w:val="center"/>
              <w:rPr>
                <w:rFonts w:ascii="Bodoni 72 Book" w:hAnsi="Bodoni 72 Book"/>
                <w:sz w:val="22"/>
                <w:szCs w:val="22"/>
              </w:rPr>
            </w:pPr>
            <w:r w:rsidRPr="00017EC5">
              <w:rPr>
                <w:rFonts w:ascii="Bodoni 72 Book" w:hAnsi="Bodoni 72 Book"/>
                <w:sz w:val="22"/>
                <w:szCs w:val="22"/>
              </w:rPr>
              <w:t>(Yes/No/Partially)</w:t>
            </w:r>
          </w:p>
        </w:tc>
        <w:tc>
          <w:tcPr>
            <w:tcW w:w="4360" w:type="dxa"/>
            <w:shd w:val="clear" w:color="auto" w:fill="BDCEC9"/>
            <w:vAlign w:val="center"/>
          </w:tcPr>
          <w:p w14:paraId="6E0C0E62" w14:textId="77777777" w:rsidR="00C878E5" w:rsidRPr="00017EC5" w:rsidRDefault="00C878E5" w:rsidP="00017EC5">
            <w:pPr>
              <w:jc w:val="center"/>
              <w:rPr>
                <w:rFonts w:ascii="Bodoni 72 Book" w:hAnsi="Bodoni 72 Book"/>
                <w:sz w:val="22"/>
                <w:szCs w:val="22"/>
              </w:rPr>
            </w:pPr>
            <w:r w:rsidRPr="00017EC5">
              <w:rPr>
                <w:rFonts w:ascii="Bodoni 72 Book" w:hAnsi="Bodoni 72 Book"/>
                <w:sz w:val="22"/>
                <w:szCs w:val="22"/>
              </w:rPr>
              <w:t>Findings</w:t>
            </w:r>
          </w:p>
        </w:tc>
        <w:tc>
          <w:tcPr>
            <w:tcW w:w="3578" w:type="dxa"/>
            <w:shd w:val="clear" w:color="auto" w:fill="BDCEC9"/>
            <w:vAlign w:val="center"/>
          </w:tcPr>
          <w:p w14:paraId="5F90B458" w14:textId="77777777" w:rsidR="00C878E5" w:rsidRPr="00017EC5" w:rsidRDefault="00C878E5" w:rsidP="00017EC5">
            <w:pPr>
              <w:jc w:val="center"/>
              <w:rPr>
                <w:rFonts w:ascii="Bodoni 72 Book" w:hAnsi="Bodoni 72 Book"/>
                <w:sz w:val="22"/>
                <w:szCs w:val="22"/>
              </w:rPr>
            </w:pPr>
            <w:r w:rsidRPr="00017EC5">
              <w:rPr>
                <w:rFonts w:ascii="Bodoni 72 Book" w:hAnsi="Bodoni 72 Book"/>
                <w:sz w:val="22"/>
                <w:szCs w:val="22"/>
              </w:rPr>
              <w:t>Means of verification</w:t>
            </w:r>
          </w:p>
        </w:tc>
      </w:tr>
      <w:tr w:rsidR="00C878E5" w14:paraId="63295051" w14:textId="77777777" w:rsidTr="0043717F">
        <w:tc>
          <w:tcPr>
            <w:tcW w:w="4248" w:type="dxa"/>
            <w:vAlign w:val="center"/>
          </w:tcPr>
          <w:p w14:paraId="7D249117" w14:textId="06075C04" w:rsidR="00C878E5" w:rsidRPr="00C878E5" w:rsidRDefault="00C878E5" w:rsidP="0043717F">
            <w:pPr>
              <w:pStyle w:val="ListParagraph"/>
              <w:numPr>
                <w:ilvl w:val="0"/>
                <w:numId w:val="14"/>
              </w:numPr>
              <w:rPr>
                <w:rFonts w:ascii="Avenir Next" w:hAnsi="Avenir Next"/>
                <w:sz w:val="20"/>
                <w:szCs w:val="20"/>
              </w:rPr>
            </w:pPr>
            <w:r w:rsidRPr="00C878E5">
              <w:rPr>
                <w:rFonts w:ascii="Avenir Next" w:hAnsi="Avenir Next"/>
                <w:sz w:val="20"/>
                <w:szCs w:val="20"/>
              </w:rPr>
              <w:t xml:space="preserve">Does the SIS (or </w:t>
            </w:r>
            <w:r w:rsidR="001519FB" w:rsidRPr="00C878E5">
              <w:rPr>
                <w:rFonts w:ascii="Avenir Next" w:hAnsi="Avenir Next"/>
                <w:sz w:val="20"/>
                <w:szCs w:val="20"/>
              </w:rPr>
              <w:t>equivalent) have</w:t>
            </w:r>
            <w:r w:rsidRPr="00C878E5">
              <w:rPr>
                <w:rFonts w:ascii="Avenir Next" w:hAnsi="Avenir Next"/>
                <w:sz w:val="20"/>
                <w:szCs w:val="20"/>
              </w:rPr>
              <w:t xml:space="preserve"> a clear process for disseminating information?</w:t>
            </w:r>
          </w:p>
          <w:p w14:paraId="7EDF0960" w14:textId="77777777" w:rsidR="00C878E5" w:rsidRPr="00C878E5" w:rsidRDefault="00C878E5" w:rsidP="0043717F">
            <w:pPr>
              <w:pStyle w:val="ListParagraph"/>
              <w:rPr>
                <w:rFonts w:ascii="Avenir Next" w:hAnsi="Avenir Next"/>
                <w:sz w:val="20"/>
                <w:szCs w:val="20"/>
              </w:rPr>
            </w:pPr>
          </w:p>
        </w:tc>
        <w:tc>
          <w:tcPr>
            <w:tcW w:w="2126" w:type="dxa"/>
          </w:tcPr>
          <w:p w14:paraId="4D77A8FA" w14:textId="77777777" w:rsidR="00C878E5" w:rsidRPr="00C878E5" w:rsidRDefault="00C878E5" w:rsidP="00CE0AF6">
            <w:pPr>
              <w:rPr>
                <w:rFonts w:ascii="Avenir Next" w:hAnsi="Avenir Next"/>
                <w:sz w:val="20"/>
                <w:szCs w:val="20"/>
              </w:rPr>
            </w:pPr>
          </w:p>
        </w:tc>
        <w:tc>
          <w:tcPr>
            <w:tcW w:w="4360" w:type="dxa"/>
          </w:tcPr>
          <w:p w14:paraId="029A5777" w14:textId="77777777" w:rsidR="00C878E5" w:rsidRPr="00C878E5" w:rsidRDefault="00C878E5" w:rsidP="00CE0AF6">
            <w:pPr>
              <w:rPr>
                <w:rFonts w:ascii="Avenir Next" w:hAnsi="Avenir Next"/>
                <w:sz w:val="20"/>
                <w:szCs w:val="20"/>
              </w:rPr>
            </w:pPr>
          </w:p>
        </w:tc>
        <w:tc>
          <w:tcPr>
            <w:tcW w:w="3578" w:type="dxa"/>
          </w:tcPr>
          <w:p w14:paraId="761A1F22" w14:textId="77777777" w:rsidR="00C878E5" w:rsidRPr="00C878E5" w:rsidRDefault="00C878E5" w:rsidP="00CE0AF6">
            <w:pPr>
              <w:rPr>
                <w:rFonts w:ascii="Avenir Next" w:hAnsi="Avenir Next"/>
                <w:sz w:val="20"/>
                <w:szCs w:val="20"/>
              </w:rPr>
            </w:pPr>
          </w:p>
        </w:tc>
      </w:tr>
      <w:tr w:rsidR="00C878E5" w14:paraId="62801539" w14:textId="77777777" w:rsidTr="0043717F">
        <w:tc>
          <w:tcPr>
            <w:tcW w:w="4248" w:type="dxa"/>
            <w:vAlign w:val="center"/>
          </w:tcPr>
          <w:p w14:paraId="42FB12A9" w14:textId="77777777" w:rsidR="00C878E5" w:rsidRPr="00C878E5" w:rsidRDefault="00C878E5" w:rsidP="0043717F">
            <w:pPr>
              <w:pStyle w:val="ListParagraph"/>
              <w:numPr>
                <w:ilvl w:val="0"/>
                <w:numId w:val="14"/>
              </w:numPr>
              <w:rPr>
                <w:rFonts w:ascii="Avenir Next" w:hAnsi="Avenir Next"/>
                <w:sz w:val="20"/>
                <w:szCs w:val="20"/>
              </w:rPr>
            </w:pPr>
            <w:r w:rsidRPr="00C878E5">
              <w:rPr>
                <w:rFonts w:ascii="Avenir Next" w:hAnsi="Avenir Next"/>
                <w:sz w:val="20"/>
                <w:szCs w:val="20"/>
              </w:rPr>
              <w:t>Does the SIS (or equivalent) have processes in place to ensure the timely/regular dissemination of information?</w:t>
            </w:r>
            <w:r w:rsidRPr="00C878E5">
              <w:rPr>
                <w:rStyle w:val="FootnoteReference"/>
                <w:rFonts w:ascii="Avenir Next" w:hAnsi="Avenir Next"/>
                <w:sz w:val="20"/>
                <w:szCs w:val="20"/>
              </w:rPr>
              <w:footnoteReference w:id="8"/>
            </w:r>
          </w:p>
          <w:p w14:paraId="3507B211" w14:textId="77777777" w:rsidR="00C878E5" w:rsidRPr="00C878E5" w:rsidRDefault="00C878E5" w:rsidP="0043717F">
            <w:pPr>
              <w:rPr>
                <w:rFonts w:ascii="Avenir Next" w:hAnsi="Avenir Next"/>
                <w:sz w:val="20"/>
                <w:szCs w:val="20"/>
              </w:rPr>
            </w:pPr>
          </w:p>
        </w:tc>
        <w:tc>
          <w:tcPr>
            <w:tcW w:w="2126" w:type="dxa"/>
          </w:tcPr>
          <w:p w14:paraId="0346F365" w14:textId="77777777" w:rsidR="00C878E5" w:rsidRPr="00C878E5" w:rsidRDefault="00C878E5" w:rsidP="00CE0AF6">
            <w:pPr>
              <w:rPr>
                <w:rFonts w:ascii="Avenir Next" w:hAnsi="Avenir Next"/>
                <w:sz w:val="20"/>
                <w:szCs w:val="20"/>
              </w:rPr>
            </w:pPr>
          </w:p>
        </w:tc>
        <w:tc>
          <w:tcPr>
            <w:tcW w:w="4360" w:type="dxa"/>
          </w:tcPr>
          <w:p w14:paraId="53F42C87" w14:textId="77777777" w:rsidR="00C878E5" w:rsidRPr="00C878E5" w:rsidRDefault="00C878E5" w:rsidP="00CE0AF6">
            <w:pPr>
              <w:rPr>
                <w:rFonts w:ascii="Avenir Next" w:hAnsi="Avenir Next"/>
                <w:sz w:val="20"/>
                <w:szCs w:val="20"/>
              </w:rPr>
            </w:pPr>
          </w:p>
        </w:tc>
        <w:tc>
          <w:tcPr>
            <w:tcW w:w="3578" w:type="dxa"/>
          </w:tcPr>
          <w:p w14:paraId="595D11C8" w14:textId="77777777" w:rsidR="00C878E5" w:rsidRPr="00C878E5" w:rsidRDefault="00C878E5" w:rsidP="00CE0AF6">
            <w:pPr>
              <w:rPr>
                <w:rFonts w:ascii="Avenir Next" w:hAnsi="Avenir Next"/>
                <w:sz w:val="20"/>
                <w:szCs w:val="20"/>
              </w:rPr>
            </w:pPr>
          </w:p>
        </w:tc>
      </w:tr>
      <w:tr w:rsidR="00C878E5" w14:paraId="2866D871" w14:textId="77777777" w:rsidTr="0043717F">
        <w:tc>
          <w:tcPr>
            <w:tcW w:w="4248" w:type="dxa"/>
            <w:vAlign w:val="center"/>
          </w:tcPr>
          <w:p w14:paraId="66BB174D" w14:textId="77777777" w:rsidR="00C878E5" w:rsidRPr="00C878E5" w:rsidRDefault="00C878E5" w:rsidP="0043717F">
            <w:pPr>
              <w:pStyle w:val="ListParagraph"/>
              <w:numPr>
                <w:ilvl w:val="0"/>
                <w:numId w:val="14"/>
              </w:numPr>
              <w:rPr>
                <w:rFonts w:ascii="Avenir Next" w:hAnsi="Avenir Next"/>
                <w:sz w:val="20"/>
                <w:szCs w:val="20"/>
              </w:rPr>
            </w:pPr>
            <w:r w:rsidRPr="00C878E5">
              <w:rPr>
                <w:rFonts w:ascii="Avenir Next" w:hAnsi="Avenir Next"/>
                <w:sz w:val="20"/>
                <w:szCs w:val="20"/>
              </w:rPr>
              <w:t>Does the SIS (or equivalent) have a web-based platform (website/webpage) to share/disseminate information?</w:t>
            </w:r>
          </w:p>
          <w:p w14:paraId="3279DEE2" w14:textId="77777777" w:rsidR="00C878E5" w:rsidRPr="00C878E5" w:rsidRDefault="00C878E5" w:rsidP="0043717F">
            <w:pPr>
              <w:pStyle w:val="ListParagraph"/>
              <w:rPr>
                <w:rFonts w:ascii="Avenir Next" w:hAnsi="Avenir Next"/>
                <w:sz w:val="20"/>
                <w:szCs w:val="20"/>
              </w:rPr>
            </w:pPr>
          </w:p>
        </w:tc>
        <w:tc>
          <w:tcPr>
            <w:tcW w:w="2126" w:type="dxa"/>
          </w:tcPr>
          <w:p w14:paraId="08684BE3" w14:textId="77777777" w:rsidR="00C878E5" w:rsidRPr="00C878E5" w:rsidRDefault="00C878E5" w:rsidP="00CE0AF6">
            <w:pPr>
              <w:rPr>
                <w:rFonts w:ascii="Avenir Next" w:hAnsi="Avenir Next"/>
                <w:sz w:val="20"/>
                <w:szCs w:val="20"/>
              </w:rPr>
            </w:pPr>
          </w:p>
        </w:tc>
        <w:tc>
          <w:tcPr>
            <w:tcW w:w="4360" w:type="dxa"/>
          </w:tcPr>
          <w:p w14:paraId="2433F764" w14:textId="77777777" w:rsidR="00C878E5" w:rsidRPr="00C878E5" w:rsidRDefault="00C878E5" w:rsidP="00CE0AF6">
            <w:pPr>
              <w:rPr>
                <w:rFonts w:ascii="Avenir Next" w:hAnsi="Avenir Next"/>
                <w:sz w:val="20"/>
                <w:szCs w:val="20"/>
              </w:rPr>
            </w:pPr>
          </w:p>
        </w:tc>
        <w:tc>
          <w:tcPr>
            <w:tcW w:w="3578" w:type="dxa"/>
          </w:tcPr>
          <w:p w14:paraId="78A68C72" w14:textId="77777777" w:rsidR="00C878E5" w:rsidRPr="00C878E5" w:rsidRDefault="00C878E5" w:rsidP="00CE0AF6">
            <w:pPr>
              <w:rPr>
                <w:rFonts w:ascii="Avenir Next" w:hAnsi="Avenir Next"/>
                <w:sz w:val="20"/>
                <w:szCs w:val="20"/>
              </w:rPr>
            </w:pPr>
          </w:p>
        </w:tc>
      </w:tr>
      <w:tr w:rsidR="00C878E5" w14:paraId="344A8973" w14:textId="77777777" w:rsidTr="0043717F">
        <w:tc>
          <w:tcPr>
            <w:tcW w:w="14312" w:type="dxa"/>
            <w:gridSpan w:val="4"/>
            <w:shd w:val="clear" w:color="auto" w:fill="00636A"/>
            <w:vAlign w:val="center"/>
          </w:tcPr>
          <w:p w14:paraId="0C8A379A" w14:textId="77777777" w:rsidR="00C878E5" w:rsidRPr="00017EC5" w:rsidRDefault="00C878E5" w:rsidP="0043717F">
            <w:pPr>
              <w:widowControl w:val="0"/>
              <w:autoSpaceDE w:val="0"/>
              <w:autoSpaceDN w:val="0"/>
              <w:spacing w:before="67"/>
              <w:rPr>
                <w:rFonts w:ascii="Avenir Next Ultra Light" w:hAnsi="Avenir Next Ultra Light"/>
                <w:color w:val="FFFFFF" w:themeColor="background1"/>
                <w:sz w:val="20"/>
                <w:szCs w:val="20"/>
              </w:rPr>
            </w:pPr>
            <w:r w:rsidRPr="00017EC5">
              <w:rPr>
                <w:rFonts w:ascii="Avenir Next" w:hAnsi="Avenir Next"/>
                <w:color w:val="FFFFFF" w:themeColor="background1"/>
                <w:sz w:val="20"/>
                <w:szCs w:val="20"/>
              </w:rPr>
              <w:t>Accessibility</w:t>
            </w:r>
            <w:r w:rsidRPr="00017EC5">
              <w:rPr>
                <w:rFonts w:ascii="Avenir Next" w:hAnsi="Avenir Next"/>
                <w:b/>
                <w:bCs/>
                <w:color w:val="FFFFFF" w:themeColor="background1"/>
                <w:sz w:val="20"/>
                <w:szCs w:val="20"/>
              </w:rPr>
              <w:t>:</w:t>
            </w:r>
            <w:r w:rsidRPr="00017EC5">
              <w:rPr>
                <w:rFonts w:ascii="Avenir Next" w:hAnsi="Avenir Next"/>
                <w:color w:val="FFFFFF" w:themeColor="background1"/>
                <w:sz w:val="20"/>
                <w:szCs w:val="20"/>
              </w:rPr>
              <w:t xml:space="preserve"> </w:t>
            </w:r>
            <w:r w:rsidRPr="00017EC5">
              <w:rPr>
                <w:rFonts w:ascii="Avenir Next Ultra Light" w:hAnsi="Avenir Next Ultra Light"/>
                <w:color w:val="FFFFFF" w:themeColor="background1"/>
                <w:sz w:val="20"/>
                <w:szCs w:val="20"/>
              </w:rPr>
              <w:t>the SIS will provide information that is accessible by all stakeholders.</w:t>
            </w:r>
            <w:r w:rsidRPr="00017EC5">
              <w:rPr>
                <w:rStyle w:val="FootnoteReference"/>
                <w:rFonts w:ascii="Avenir Next Ultra Light" w:hAnsi="Avenir Next Ultra Light"/>
                <w:color w:val="FFFFFF" w:themeColor="background1"/>
                <w:sz w:val="20"/>
                <w:szCs w:val="20"/>
              </w:rPr>
              <w:footnoteReference w:id="9"/>
            </w:r>
          </w:p>
          <w:p w14:paraId="2D83CC8A" w14:textId="77777777" w:rsidR="00C878E5" w:rsidRPr="00C878E5" w:rsidRDefault="00C878E5" w:rsidP="0043717F">
            <w:pPr>
              <w:rPr>
                <w:rFonts w:ascii="Avenir Next" w:hAnsi="Avenir Next"/>
                <w:sz w:val="20"/>
                <w:szCs w:val="20"/>
              </w:rPr>
            </w:pPr>
          </w:p>
        </w:tc>
      </w:tr>
      <w:tr w:rsidR="00C878E5" w:rsidRPr="00DC5B18" w14:paraId="560584C2" w14:textId="77777777" w:rsidTr="0043717F">
        <w:trPr>
          <w:trHeight w:val="777"/>
        </w:trPr>
        <w:tc>
          <w:tcPr>
            <w:tcW w:w="4248" w:type="dxa"/>
            <w:shd w:val="clear" w:color="auto" w:fill="BDCEC9"/>
            <w:vAlign w:val="center"/>
          </w:tcPr>
          <w:p w14:paraId="2A87C6E9" w14:textId="77777777" w:rsidR="00C878E5" w:rsidRPr="00017EC5" w:rsidRDefault="00C878E5" w:rsidP="0043717F">
            <w:pPr>
              <w:rPr>
                <w:rFonts w:ascii="Bodoni 72 Book" w:hAnsi="Bodoni 72 Book"/>
                <w:sz w:val="22"/>
                <w:szCs w:val="22"/>
              </w:rPr>
            </w:pPr>
            <w:r w:rsidRPr="00017EC5">
              <w:rPr>
                <w:rFonts w:ascii="Bodoni 72 Book" w:hAnsi="Bodoni 72 Book"/>
                <w:sz w:val="22"/>
                <w:szCs w:val="22"/>
              </w:rPr>
              <w:t>Questions</w:t>
            </w:r>
          </w:p>
        </w:tc>
        <w:tc>
          <w:tcPr>
            <w:tcW w:w="2126" w:type="dxa"/>
            <w:shd w:val="clear" w:color="auto" w:fill="BDCEC9"/>
            <w:vAlign w:val="center"/>
          </w:tcPr>
          <w:p w14:paraId="35E6B315" w14:textId="77777777" w:rsidR="00C878E5" w:rsidRPr="00017EC5" w:rsidRDefault="00C878E5" w:rsidP="00017EC5">
            <w:pPr>
              <w:jc w:val="center"/>
              <w:rPr>
                <w:rFonts w:ascii="Bodoni 72 Book" w:hAnsi="Bodoni 72 Book"/>
                <w:sz w:val="22"/>
                <w:szCs w:val="22"/>
              </w:rPr>
            </w:pPr>
            <w:r w:rsidRPr="00017EC5">
              <w:rPr>
                <w:rFonts w:ascii="Bodoni 72 Book" w:hAnsi="Bodoni 72 Book"/>
                <w:sz w:val="22"/>
                <w:szCs w:val="22"/>
              </w:rPr>
              <w:t>Scoring</w:t>
            </w:r>
          </w:p>
          <w:p w14:paraId="6E710FAE" w14:textId="77777777" w:rsidR="00C878E5" w:rsidRPr="00017EC5" w:rsidRDefault="00C878E5" w:rsidP="00017EC5">
            <w:pPr>
              <w:jc w:val="center"/>
              <w:rPr>
                <w:rFonts w:ascii="Bodoni 72 Book" w:hAnsi="Bodoni 72 Book"/>
                <w:sz w:val="22"/>
                <w:szCs w:val="22"/>
              </w:rPr>
            </w:pPr>
            <w:r w:rsidRPr="00017EC5">
              <w:rPr>
                <w:rFonts w:ascii="Bodoni 72 Book" w:hAnsi="Bodoni 72 Book"/>
                <w:sz w:val="22"/>
                <w:szCs w:val="22"/>
              </w:rPr>
              <w:t>(Yes/No/Partially)</w:t>
            </w:r>
          </w:p>
        </w:tc>
        <w:tc>
          <w:tcPr>
            <w:tcW w:w="4360" w:type="dxa"/>
            <w:shd w:val="clear" w:color="auto" w:fill="BDCEC9"/>
            <w:vAlign w:val="center"/>
          </w:tcPr>
          <w:p w14:paraId="02738B5D" w14:textId="77777777" w:rsidR="00C878E5" w:rsidRPr="00017EC5" w:rsidRDefault="00C878E5" w:rsidP="00017EC5">
            <w:pPr>
              <w:jc w:val="center"/>
              <w:rPr>
                <w:rFonts w:ascii="Bodoni 72 Book" w:hAnsi="Bodoni 72 Book"/>
                <w:sz w:val="22"/>
                <w:szCs w:val="22"/>
              </w:rPr>
            </w:pPr>
            <w:r w:rsidRPr="00017EC5">
              <w:rPr>
                <w:rFonts w:ascii="Bodoni 72 Book" w:hAnsi="Bodoni 72 Book"/>
                <w:sz w:val="22"/>
                <w:szCs w:val="22"/>
              </w:rPr>
              <w:t>Findings</w:t>
            </w:r>
          </w:p>
        </w:tc>
        <w:tc>
          <w:tcPr>
            <w:tcW w:w="3578" w:type="dxa"/>
            <w:shd w:val="clear" w:color="auto" w:fill="BDCEC9"/>
            <w:vAlign w:val="center"/>
          </w:tcPr>
          <w:p w14:paraId="25B619B9" w14:textId="77777777" w:rsidR="00C878E5" w:rsidRPr="00017EC5" w:rsidRDefault="00C878E5" w:rsidP="00017EC5">
            <w:pPr>
              <w:jc w:val="center"/>
              <w:rPr>
                <w:rFonts w:ascii="Bodoni 72 Book" w:hAnsi="Bodoni 72 Book"/>
                <w:sz w:val="22"/>
                <w:szCs w:val="22"/>
              </w:rPr>
            </w:pPr>
            <w:r w:rsidRPr="00017EC5">
              <w:rPr>
                <w:rFonts w:ascii="Bodoni 72 Book" w:hAnsi="Bodoni 72 Book"/>
                <w:sz w:val="22"/>
                <w:szCs w:val="22"/>
              </w:rPr>
              <w:t>Means of verification</w:t>
            </w:r>
          </w:p>
        </w:tc>
      </w:tr>
      <w:tr w:rsidR="00C878E5" w14:paraId="689AE4F1" w14:textId="77777777" w:rsidTr="0043717F">
        <w:tc>
          <w:tcPr>
            <w:tcW w:w="4248" w:type="dxa"/>
            <w:vAlign w:val="center"/>
          </w:tcPr>
          <w:p w14:paraId="2CC2D9F3" w14:textId="77777777" w:rsidR="00C878E5" w:rsidRPr="00C878E5" w:rsidRDefault="00C878E5" w:rsidP="00E564F0">
            <w:pPr>
              <w:pStyle w:val="ListParagraph"/>
              <w:numPr>
                <w:ilvl w:val="0"/>
                <w:numId w:val="14"/>
              </w:numPr>
              <w:rPr>
                <w:rFonts w:ascii="Avenir Next" w:hAnsi="Avenir Next"/>
                <w:sz w:val="20"/>
                <w:szCs w:val="20"/>
              </w:rPr>
            </w:pPr>
            <w:r w:rsidRPr="00C878E5">
              <w:rPr>
                <w:rFonts w:ascii="Avenir Next" w:hAnsi="Avenir Next"/>
                <w:sz w:val="20"/>
                <w:szCs w:val="20"/>
              </w:rPr>
              <w:t>Does the SIS (or equivalent) provide information in a culturally appropriate manner?</w:t>
            </w:r>
            <w:r w:rsidRPr="00C878E5">
              <w:rPr>
                <w:rStyle w:val="FootnoteReference"/>
                <w:rFonts w:ascii="Avenir Next" w:hAnsi="Avenir Next"/>
                <w:sz w:val="20"/>
                <w:szCs w:val="20"/>
              </w:rPr>
              <w:t xml:space="preserve"> </w:t>
            </w:r>
            <w:r w:rsidRPr="00C878E5">
              <w:rPr>
                <w:rStyle w:val="FootnoteReference"/>
                <w:rFonts w:ascii="Avenir Next" w:hAnsi="Avenir Next"/>
                <w:sz w:val="20"/>
                <w:szCs w:val="20"/>
              </w:rPr>
              <w:footnoteReference w:id="10"/>
            </w:r>
          </w:p>
          <w:p w14:paraId="4A300017" w14:textId="77777777" w:rsidR="00C878E5" w:rsidRPr="00C878E5" w:rsidRDefault="00C878E5" w:rsidP="0043717F">
            <w:pPr>
              <w:pStyle w:val="ListParagraph"/>
              <w:rPr>
                <w:rFonts w:ascii="Avenir Next" w:hAnsi="Avenir Next"/>
                <w:sz w:val="20"/>
                <w:szCs w:val="20"/>
              </w:rPr>
            </w:pPr>
          </w:p>
        </w:tc>
        <w:tc>
          <w:tcPr>
            <w:tcW w:w="2126" w:type="dxa"/>
          </w:tcPr>
          <w:p w14:paraId="2E8050C4" w14:textId="77777777" w:rsidR="00C878E5" w:rsidRPr="00C878E5" w:rsidRDefault="00C878E5" w:rsidP="00CE0AF6">
            <w:pPr>
              <w:rPr>
                <w:rFonts w:ascii="Avenir Next" w:hAnsi="Avenir Next"/>
                <w:sz w:val="20"/>
                <w:szCs w:val="20"/>
              </w:rPr>
            </w:pPr>
          </w:p>
        </w:tc>
        <w:tc>
          <w:tcPr>
            <w:tcW w:w="4360" w:type="dxa"/>
          </w:tcPr>
          <w:p w14:paraId="0BA743F3" w14:textId="77777777" w:rsidR="00C878E5" w:rsidRPr="00C878E5" w:rsidRDefault="00C878E5" w:rsidP="00CE0AF6">
            <w:pPr>
              <w:rPr>
                <w:rFonts w:ascii="Avenir Next" w:hAnsi="Avenir Next"/>
                <w:sz w:val="20"/>
                <w:szCs w:val="20"/>
              </w:rPr>
            </w:pPr>
          </w:p>
        </w:tc>
        <w:tc>
          <w:tcPr>
            <w:tcW w:w="3578" w:type="dxa"/>
          </w:tcPr>
          <w:p w14:paraId="2AE68577" w14:textId="77777777" w:rsidR="00C878E5" w:rsidRPr="00C878E5" w:rsidRDefault="00C878E5" w:rsidP="00CE0AF6">
            <w:pPr>
              <w:rPr>
                <w:rFonts w:ascii="Avenir Next" w:hAnsi="Avenir Next"/>
                <w:sz w:val="20"/>
                <w:szCs w:val="20"/>
              </w:rPr>
            </w:pPr>
          </w:p>
        </w:tc>
      </w:tr>
      <w:tr w:rsidR="00C878E5" w14:paraId="2906F217" w14:textId="77777777" w:rsidTr="0043717F">
        <w:tc>
          <w:tcPr>
            <w:tcW w:w="4248" w:type="dxa"/>
            <w:vAlign w:val="center"/>
          </w:tcPr>
          <w:p w14:paraId="194DF308" w14:textId="77777777" w:rsidR="00C878E5" w:rsidRPr="00C878E5" w:rsidRDefault="00C878E5" w:rsidP="00E564F0">
            <w:pPr>
              <w:pStyle w:val="ListParagraph"/>
              <w:numPr>
                <w:ilvl w:val="0"/>
                <w:numId w:val="14"/>
              </w:numPr>
              <w:rPr>
                <w:rFonts w:ascii="Avenir Next" w:hAnsi="Avenir Next"/>
                <w:sz w:val="20"/>
                <w:szCs w:val="20"/>
              </w:rPr>
            </w:pPr>
            <w:r w:rsidRPr="00C878E5">
              <w:rPr>
                <w:rFonts w:ascii="Avenir Next" w:hAnsi="Avenir Next"/>
                <w:sz w:val="20"/>
                <w:szCs w:val="20"/>
              </w:rPr>
              <w:t xml:space="preserve">Does the SIS (or equivalent) web-based platform offer all relevant information and is guided by the principle of maximum disclosure? </w:t>
            </w:r>
            <w:r w:rsidRPr="00C878E5">
              <w:rPr>
                <w:rStyle w:val="FootnoteReference"/>
                <w:rFonts w:ascii="Avenir Next" w:hAnsi="Avenir Next"/>
                <w:sz w:val="20"/>
                <w:szCs w:val="20"/>
              </w:rPr>
              <w:footnoteReference w:id="11"/>
            </w:r>
          </w:p>
          <w:p w14:paraId="5E712896" w14:textId="77777777" w:rsidR="00C878E5" w:rsidRPr="00C878E5" w:rsidRDefault="00C878E5" w:rsidP="0043717F">
            <w:pPr>
              <w:pStyle w:val="ListParagraph"/>
              <w:rPr>
                <w:rFonts w:ascii="Avenir Next" w:hAnsi="Avenir Next"/>
                <w:sz w:val="20"/>
                <w:szCs w:val="20"/>
              </w:rPr>
            </w:pPr>
          </w:p>
        </w:tc>
        <w:tc>
          <w:tcPr>
            <w:tcW w:w="2126" w:type="dxa"/>
          </w:tcPr>
          <w:p w14:paraId="362EE28D" w14:textId="77777777" w:rsidR="00C878E5" w:rsidRPr="00C878E5" w:rsidRDefault="00C878E5" w:rsidP="00CE0AF6">
            <w:pPr>
              <w:rPr>
                <w:rFonts w:ascii="Avenir Next" w:hAnsi="Avenir Next"/>
                <w:sz w:val="20"/>
                <w:szCs w:val="20"/>
              </w:rPr>
            </w:pPr>
          </w:p>
        </w:tc>
        <w:tc>
          <w:tcPr>
            <w:tcW w:w="4360" w:type="dxa"/>
          </w:tcPr>
          <w:p w14:paraId="3FB60FD1" w14:textId="77777777" w:rsidR="00C878E5" w:rsidRPr="00C878E5" w:rsidRDefault="00C878E5" w:rsidP="00CE0AF6">
            <w:pPr>
              <w:rPr>
                <w:rFonts w:ascii="Avenir Next" w:hAnsi="Avenir Next"/>
                <w:sz w:val="20"/>
                <w:szCs w:val="20"/>
              </w:rPr>
            </w:pPr>
          </w:p>
        </w:tc>
        <w:tc>
          <w:tcPr>
            <w:tcW w:w="3578" w:type="dxa"/>
          </w:tcPr>
          <w:p w14:paraId="4689A189" w14:textId="77777777" w:rsidR="00C878E5" w:rsidRPr="00C878E5" w:rsidRDefault="00C878E5" w:rsidP="00CE0AF6">
            <w:pPr>
              <w:rPr>
                <w:rFonts w:ascii="Avenir Next" w:hAnsi="Avenir Next"/>
                <w:sz w:val="20"/>
                <w:szCs w:val="20"/>
              </w:rPr>
            </w:pPr>
          </w:p>
        </w:tc>
      </w:tr>
      <w:tr w:rsidR="00C878E5" w14:paraId="56168F1A" w14:textId="77777777" w:rsidTr="0043717F">
        <w:tc>
          <w:tcPr>
            <w:tcW w:w="4248" w:type="dxa"/>
            <w:vAlign w:val="center"/>
          </w:tcPr>
          <w:p w14:paraId="0A8236B9" w14:textId="77777777" w:rsidR="00C878E5" w:rsidRPr="00C878E5" w:rsidRDefault="00C878E5" w:rsidP="00E564F0">
            <w:pPr>
              <w:pStyle w:val="ListParagraph"/>
              <w:numPr>
                <w:ilvl w:val="0"/>
                <w:numId w:val="14"/>
              </w:numPr>
              <w:rPr>
                <w:rFonts w:ascii="Avenir Next" w:hAnsi="Avenir Next"/>
                <w:sz w:val="20"/>
                <w:szCs w:val="20"/>
              </w:rPr>
            </w:pPr>
            <w:r w:rsidRPr="00C878E5">
              <w:rPr>
                <w:rFonts w:ascii="Avenir Next" w:hAnsi="Avenir Next"/>
                <w:sz w:val="20"/>
                <w:szCs w:val="20"/>
              </w:rPr>
              <w:t>Does the SIS (or equivalent) include accessibility features (e.g. a contact form, feedback mechanism, etc.)?</w:t>
            </w:r>
          </w:p>
        </w:tc>
        <w:tc>
          <w:tcPr>
            <w:tcW w:w="2126" w:type="dxa"/>
          </w:tcPr>
          <w:p w14:paraId="407A0CEE" w14:textId="77777777" w:rsidR="00C878E5" w:rsidRPr="00C878E5" w:rsidRDefault="00C878E5" w:rsidP="00CE0AF6">
            <w:pPr>
              <w:rPr>
                <w:rFonts w:ascii="Avenir Next" w:hAnsi="Avenir Next"/>
                <w:sz w:val="20"/>
                <w:szCs w:val="20"/>
              </w:rPr>
            </w:pPr>
          </w:p>
        </w:tc>
        <w:tc>
          <w:tcPr>
            <w:tcW w:w="4360" w:type="dxa"/>
          </w:tcPr>
          <w:p w14:paraId="254EE95E" w14:textId="77777777" w:rsidR="00C878E5" w:rsidRPr="00C878E5" w:rsidRDefault="00C878E5" w:rsidP="00CE0AF6">
            <w:pPr>
              <w:rPr>
                <w:rFonts w:ascii="Avenir Next" w:hAnsi="Avenir Next"/>
                <w:sz w:val="20"/>
                <w:szCs w:val="20"/>
              </w:rPr>
            </w:pPr>
          </w:p>
        </w:tc>
        <w:tc>
          <w:tcPr>
            <w:tcW w:w="3578" w:type="dxa"/>
          </w:tcPr>
          <w:p w14:paraId="5F5B8BFF" w14:textId="77777777" w:rsidR="00C878E5" w:rsidRPr="00C878E5" w:rsidRDefault="00C878E5" w:rsidP="00CE0AF6">
            <w:pPr>
              <w:rPr>
                <w:rFonts w:ascii="Avenir Next" w:hAnsi="Avenir Next"/>
                <w:sz w:val="20"/>
                <w:szCs w:val="20"/>
              </w:rPr>
            </w:pPr>
          </w:p>
        </w:tc>
      </w:tr>
      <w:tr w:rsidR="00C878E5" w14:paraId="0DC5C7F9" w14:textId="77777777" w:rsidTr="0043717F">
        <w:tc>
          <w:tcPr>
            <w:tcW w:w="14312" w:type="dxa"/>
            <w:gridSpan w:val="4"/>
            <w:shd w:val="clear" w:color="auto" w:fill="00636A"/>
            <w:vAlign w:val="center"/>
          </w:tcPr>
          <w:p w14:paraId="3A7CADA4" w14:textId="77777777" w:rsidR="00C878E5" w:rsidRPr="00017EC5" w:rsidRDefault="00C878E5" w:rsidP="0043717F">
            <w:pPr>
              <w:rPr>
                <w:rFonts w:ascii="Avenir Next Ultra Light" w:hAnsi="Avenir Next Ultra Light"/>
                <w:color w:val="FFFFFF" w:themeColor="background1"/>
                <w:sz w:val="20"/>
                <w:szCs w:val="20"/>
              </w:rPr>
            </w:pPr>
            <w:r w:rsidRPr="00017EC5">
              <w:rPr>
                <w:rFonts w:ascii="Avenir Next" w:hAnsi="Avenir Next"/>
                <w:color w:val="FFFFFF" w:themeColor="background1"/>
                <w:sz w:val="20"/>
                <w:szCs w:val="20"/>
              </w:rPr>
              <w:t xml:space="preserve">Flexibility: </w:t>
            </w:r>
            <w:r w:rsidRPr="00017EC5">
              <w:rPr>
                <w:rFonts w:ascii="Avenir Next Ultra Light" w:hAnsi="Avenir Next Ultra Light"/>
                <w:color w:val="FFFFFF" w:themeColor="background1"/>
                <w:sz w:val="20"/>
                <w:szCs w:val="20"/>
              </w:rPr>
              <w:t>the SIS is designed to allow for improvements over time in recognition of the stepwise approach to producing safeguards information</w:t>
            </w:r>
            <w:r w:rsidRPr="00017EC5">
              <w:rPr>
                <w:rStyle w:val="FootnoteReference"/>
                <w:rFonts w:ascii="Avenir Next Ultra Light" w:hAnsi="Avenir Next Ultra Light"/>
                <w:color w:val="FFFFFF" w:themeColor="background1"/>
                <w:sz w:val="20"/>
                <w:szCs w:val="20"/>
              </w:rPr>
              <w:footnoteReference w:id="12"/>
            </w:r>
          </w:p>
          <w:p w14:paraId="5C1E3435" w14:textId="77777777" w:rsidR="00C878E5" w:rsidRPr="00C878E5" w:rsidRDefault="00C878E5" w:rsidP="0043717F">
            <w:pPr>
              <w:pStyle w:val="ListParagraph"/>
              <w:rPr>
                <w:rFonts w:ascii="Avenir Next" w:hAnsi="Avenir Next"/>
                <w:sz w:val="20"/>
                <w:szCs w:val="20"/>
              </w:rPr>
            </w:pPr>
          </w:p>
        </w:tc>
      </w:tr>
      <w:tr w:rsidR="00C878E5" w:rsidRPr="00DC5B18" w14:paraId="5C122512" w14:textId="77777777" w:rsidTr="0043717F">
        <w:tc>
          <w:tcPr>
            <w:tcW w:w="4248" w:type="dxa"/>
            <w:shd w:val="clear" w:color="auto" w:fill="BDCEC9"/>
            <w:vAlign w:val="center"/>
          </w:tcPr>
          <w:p w14:paraId="77955274" w14:textId="77777777" w:rsidR="00C878E5" w:rsidRPr="00017EC5" w:rsidRDefault="00C878E5" w:rsidP="0043717F">
            <w:pPr>
              <w:rPr>
                <w:rFonts w:ascii="Bodoni 72 Book" w:hAnsi="Bodoni 72 Book"/>
                <w:sz w:val="22"/>
                <w:szCs w:val="22"/>
              </w:rPr>
            </w:pPr>
            <w:r w:rsidRPr="00017EC5">
              <w:rPr>
                <w:rFonts w:ascii="Bodoni 72 Book" w:hAnsi="Bodoni 72 Book"/>
                <w:sz w:val="22"/>
                <w:szCs w:val="22"/>
              </w:rPr>
              <w:t>Questions</w:t>
            </w:r>
          </w:p>
        </w:tc>
        <w:tc>
          <w:tcPr>
            <w:tcW w:w="2126" w:type="dxa"/>
            <w:shd w:val="clear" w:color="auto" w:fill="BDCEC9"/>
            <w:vAlign w:val="center"/>
          </w:tcPr>
          <w:p w14:paraId="3689126B" w14:textId="77777777" w:rsidR="00C878E5" w:rsidRPr="00017EC5" w:rsidRDefault="00C878E5" w:rsidP="00017EC5">
            <w:pPr>
              <w:jc w:val="center"/>
              <w:rPr>
                <w:rFonts w:ascii="Bodoni 72 Book" w:hAnsi="Bodoni 72 Book"/>
                <w:sz w:val="22"/>
                <w:szCs w:val="22"/>
              </w:rPr>
            </w:pPr>
            <w:r w:rsidRPr="00017EC5">
              <w:rPr>
                <w:rFonts w:ascii="Bodoni 72 Book" w:hAnsi="Bodoni 72 Book"/>
                <w:sz w:val="22"/>
                <w:szCs w:val="22"/>
              </w:rPr>
              <w:t>Scoring</w:t>
            </w:r>
          </w:p>
          <w:p w14:paraId="43946A76" w14:textId="77777777" w:rsidR="00C878E5" w:rsidRPr="00017EC5" w:rsidRDefault="00C878E5" w:rsidP="00017EC5">
            <w:pPr>
              <w:jc w:val="center"/>
              <w:rPr>
                <w:rFonts w:ascii="Bodoni 72 Book" w:hAnsi="Bodoni 72 Book"/>
                <w:sz w:val="22"/>
                <w:szCs w:val="22"/>
              </w:rPr>
            </w:pPr>
            <w:r w:rsidRPr="00017EC5">
              <w:rPr>
                <w:rFonts w:ascii="Bodoni 72 Book" w:hAnsi="Bodoni 72 Book"/>
                <w:sz w:val="22"/>
                <w:szCs w:val="22"/>
              </w:rPr>
              <w:t>(Yes/No/Partially)</w:t>
            </w:r>
          </w:p>
        </w:tc>
        <w:tc>
          <w:tcPr>
            <w:tcW w:w="4360" w:type="dxa"/>
            <w:shd w:val="clear" w:color="auto" w:fill="BDCEC9"/>
            <w:vAlign w:val="center"/>
          </w:tcPr>
          <w:p w14:paraId="2FC517AC" w14:textId="77777777" w:rsidR="00C878E5" w:rsidRPr="00017EC5" w:rsidRDefault="00C878E5" w:rsidP="00017EC5">
            <w:pPr>
              <w:jc w:val="center"/>
              <w:rPr>
                <w:rFonts w:ascii="Bodoni 72 Book" w:hAnsi="Bodoni 72 Book"/>
                <w:sz w:val="22"/>
                <w:szCs w:val="22"/>
              </w:rPr>
            </w:pPr>
            <w:r w:rsidRPr="00017EC5">
              <w:rPr>
                <w:rFonts w:ascii="Bodoni 72 Book" w:hAnsi="Bodoni 72 Book"/>
                <w:sz w:val="22"/>
                <w:szCs w:val="22"/>
              </w:rPr>
              <w:t>Findings</w:t>
            </w:r>
          </w:p>
        </w:tc>
        <w:tc>
          <w:tcPr>
            <w:tcW w:w="3578" w:type="dxa"/>
            <w:shd w:val="clear" w:color="auto" w:fill="BDCEC9"/>
            <w:vAlign w:val="center"/>
          </w:tcPr>
          <w:p w14:paraId="3729DD0E" w14:textId="77777777" w:rsidR="00C878E5" w:rsidRPr="00017EC5" w:rsidRDefault="00C878E5" w:rsidP="00017EC5">
            <w:pPr>
              <w:jc w:val="center"/>
              <w:rPr>
                <w:rFonts w:ascii="Bodoni 72 Book" w:hAnsi="Bodoni 72 Book"/>
                <w:sz w:val="22"/>
                <w:szCs w:val="22"/>
              </w:rPr>
            </w:pPr>
            <w:r w:rsidRPr="00017EC5">
              <w:rPr>
                <w:rFonts w:ascii="Bodoni 72 Book" w:hAnsi="Bodoni 72 Book"/>
                <w:sz w:val="22"/>
                <w:szCs w:val="22"/>
              </w:rPr>
              <w:t>Means of verification</w:t>
            </w:r>
          </w:p>
        </w:tc>
      </w:tr>
      <w:tr w:rsidR="00C878E5" w14:paraId="54B38348" w14:textId="77777777" w:rsidTr="0043717F">
        <w:tc>
          <w:tcPr>
            <w:tcW w:w="4248" w:type="dxa"/>
            <w:vAlign w:val="center"/>
          </w:tcPr>
          <w:p w14:paraId="3F250C37" w14:textId="77777777" w:rsidR="00C878E5" w:rsidRPr="00C878E5" w:rsidRDefault="00C878E5" w:rsidP="00E564F0">
            <w:pPr>
              <w:pStyle w:val="ListParagraph"/>
              <w:numPr>
                <w:ilvl w:val="0"/>
                <w:numId w:val="14"/>
              </w:numPr>
              <w:rPr>
                <w:rFonts w:ascii="Avenir Next" w:hAnsi="Avenir Next"/>
                <w:sz w:val="20"/>
                <w:szCs w:val="20"/>
              </w:rPr>
            </w:pPr>
            <w:r w:rsidRPr="00C878E5">
              <w:rPr>
                <w:rFonts w:ascii="Avenir Next" w:hAnsi="Avenir Next"/>
                <w:sz w:val="20"/>
                <w:szCs w:val="20"/>
              </w:rPr>
              <w:t xml:space="preserve">Is the SIS (or equivalent) designed to provide information appropriate to the relevant stages (design and </w:t>
            </w:r>
            <w:r w:rsidRPr="00C878E5">
              <w:rPr>
                <w:rFonts w:ascii="Avenir Next" w:hAnsi="Avenir Next"/>
                <w:sz w:val="20"/>
                <w:szCs w:val="20"/>
              </w:rPr>
              <w:lastRenderedPageBreak/>
              <w:t>implementation) of its REDD+ actions?</w:t>
            </w:r>
            <w:r w:rsidRPr="00C878E5">
              <w:rPr>
                <w:rStyle w:val="FootnoteReference"/>
                <w:rFonts w:ascii="Avenir Next" w:hAnsi="Avenir Next"/>
                <w:sz w:val="20"/>
                <w:szCs w:val="20"/>
              </w:rPr>
              <w:footnoteReference w:id="13"/>
            </w:r>
            <w:r w:rsidRPr="00C878E5">
              <w:rPr>
                <w:rFonts w:ascii="Avenir Next" w:hAnsi="Avenir Next"/>
                <w:sz w:val="20"/>
                <w:szCs w:val="20"/>
              </w:rPr>
              <w:t xml:space="preserve"> </w:t>
            </w:r>
          </w:p>
          <w:p w14:paraId="0B526A4F" w14:textId="77777777" w:rsidR="00C878E5" w:rsidRPr="00C878E5" w:rsidRDefault="00C878E5" w:rsidP="0043717F">
            <w:pPr>
              <w:rPr>
                <w:rFonts w:ascii="Avenir Next" w:hAnsi="Avenir Next"/>
                <w:sz w:val="20"/>
                <w:szCs w:val="20"/>
              </w:rPr>
            </w:pPr>
          </w:p>
        </w:tc>
        <w:tc>
          <w:tcPr>
            <w:tcW w:w="2126" w:type="dxa"/>
          </w:tcPr>
          <w:p w14:paraId="73C50162" w14:textId="77777777" w:rsidR="00C878E5" w:rsidRPr="00C878E5" w:rsidRDefault="00C878E5" w:rsidP="00CE0AF6">
            <w:pPr>
              <w:rPr>
                <w:rFonts w:ascii="Avenir Next" w:hAnsi="Avenir Next"/>
                <w:sz w:val="20"/>
                <w:szCs w:val="20"/>
              </w:rPr>
            </w:pPr>
          </w:p>
        </w:tc>
        <w:tc>
          <w:tcPr>
            <w:tcW w:w="4360" w:type="dxa"/>
          </w:tcPr>
          <w:p w14:paraId="67D2FEA4" w14:textId="77777777" w:rsidR="00C878E5" w:rsidRPr="00C878E5" w:rsidRDefault="00C878E5" w:rsidP="00CE0AF6">
            <w:pPr>
              <w:rPr>
                <w:rFonts w:ascii="Avenir Next" w:hAnsi="Avenir Next"/>
                <w:sz w:val="20"/>
                <w:szCs w:val="20"/>
              </w:rPr>
            </w:pPr>
          </w:p>
        </w:tc>
        <w:tc>
          <w:tcPr>
            <w:tcW w:w="3578" w:type="dxa"/>
          </w:tcPr>
          <w:p w14:paraId="247FC4F4" w14:textId="77777777" w:rsidR="00C878E5" w:rsidRPr="00C878E5" w:rsidRDefault="00C878E5" w:rsidP="00CE0AF6">
            <w:pPr>
              <w:rPr>
                <w:rFonts w:ascii="Avenir Next" w:hAnsi="Avenir Next"/>
                <w:sz w:val="20"/>
                <w:szCs w:val="20"/>
              </w:rPr>
            </w:pPr>
          </w:p>
        </w:tc>
      </w:tr>
      <w:tr w:rsidR="00C878E5" w14:paraId="359BFA31" w14:textId="77777777" w:rsidTr="0043717F">
        <w:tc>
          <w:tcPr>
            <w:tcW w:w="4248" w:type="dxa"/>
            <w:vAlign w:val="center"/>
          </w:tcPr>
          <w:p w14:paraId="05C0354E" w14:textId="77777777" w:rsidR="00C878E5" w:rsidRPr="00C878E5" w:rsidRDefault="00C878E5" w:rsidP="00E564F0">
            <w:pPr>
              <w:pStyle w:val="ListParagraph"/>
              <w:numPr>
                <w:ilvl w:val="0"/>
                <w:numId w:val="14"/>
              </w:numPr>
              <w:rPr>
                <w:rFonts w:ascii="Avenir Next" w:hAnsi="Avenir Next"/>
                <w:sz w:val="20"/>
                <w:szCs w:val="20"/>
              </w:rPr>
            </w:pPr>
            <w:r w:rsidRPr="00C878E5">
              <w:rPr>
                <w:rFonts w:ascii="Avenir Next" w:hAnsi="Avenir Next"/>
                <w:sz w:val="20"/>
                <w:szCs w:val="20"/>
              </w:rPr>
              <w:t>Is the SIS (or equivalent) designed to have a function/process for assessing its performance and identifying improvements for the next reporting period?</w:t>
            </w:r>
            <w:r w:rsidRPr="00C878E5">
              <w:rPr>
                <w:rStyle w:val="FootnoteReference"/>
                <w:rFonts w:ascii="Avenir Next" w:hAnsi="Avenir Next"/>
                <w:sz w:val="20"/>
                <w:szCs w:val="20"/>
              </w:rPr>
              <w:footnoteReference w:id="14"/>
            </w:r>
            <w:r w:rsidRPr="00C878E5">
              <w:rPr>
                <w:rFonts w:ascii="Avenir Next" w:hAnsi="Avenir Next"/>
                <w:sz w:val="20"/>
                <w:szCs w:val="20"/>
              </w:rPr>
              <w:t xml:space="preserve"> </w:t>
            </w:r>
          </w:p>
          <w:p w14:paraId="39C9A423" w14:textId="77777777" w:rsidR="00C878E5" w:rsidRPr="00C878E5" w:rsidRDefault="00C878E5" w:rsidP="0043717F">
            <w:pPr>
              <w:rPr>
                <w:rFonts w:ascii="Avenir Next" w:hAnsi="Avenir Next"/>
                <w:sz w:val="20"/>
                <w:szCs w:val="20"/>
              </w:rPr>
            </w:pPr>
          </w:p>
        </w:tc>
        <w:tc>
          <w:tcPr>
            <w:tcW w:w="2126" w:type="dxa"/>
          </w:tcPr>
          <w:p w14:paraId="07AAB267" w14:textId="77777777" w:rsidR="00C878E5" w:rsidRPr="00C878E5" w:rsidRDefault="00C878E5" w:rsidP="00CE0AF6">
            <w:pPr>
              <w:rPr>
                <w:rFonts w:ascii="Avenir Next" w:hAnsi="Avenir Next"/>
                <w:sz w:val="20"/>
                <w:szCs w:val="20"/>
              </w:rPr>
            </w:pPr>
          </w:p>
        </w:tc>
        <w:tc>
          <w:tcPr>
            <w:tcW w:w="4360" w:type="dxa"/>
          </w:tcPr>
          <w:p w14:paraId="3A8ACB2C" w14:textId="77777777" w:rsidR="00C878E5" w:rsidRPr="00C878E5" w:rsidRDefault="00C878E5" w:rsidP="00CE0AF6">
            <w:pPr>
              <w:rPr>
                <w:rFonts w:ascii="Avenir Next" w:hAnsi="Avenir Next"/>
                <w:sz w:val="20"/>
                <w:szCs w:val="20"/>
              </w:rPr>
            </w:pPr>
          </w:p>
        </w:tc>
        <w:tc>
          <w:tcPr>
            <w:tcW w:w="3578" w:type="dxa"/>
          </w:tcPr>
          <w:p w14:paraId="79A121D6" w14:textId="77777777" w:rsidR="00C878E5" w:rsidRPr="00C878E5" w:rsidRDefault="00C878E5" w:rsidP="00CE0AF6">
            <w:pPr>
              <w:rPr>
                <w:rFonts w:ascii="Avenir Next" w:hAnsi="Avenir Next"/>
                <w:sz w:val="20"/>
                <w:szCs w:val="20"/>
              </w:rPr>
            </w:pPr>
          </w:p>
        </w:tc>
      </w:tr>
      <w:tr w:rsidR="00C878E5" w14:paraId="65C9CE29" w14:textId="77777777" w:rsidTr="0043717F">
        <w:tc>
          <w:tcPr>
            <w:tcW w:w="14312" w:type="dxa"/>
            <w:gridSpan w:val="4"/>
            <w:shd w:val="clear" w:color="auto" w:fill="00636A"/>
            <w:vAlign w:val="center"/>
          </w:tcPr>
          <w:p w14:paraId="3BD9EF69" w14:textId="77777777" w:rsidR="00C878E5" w:rsidRPr="00017EC5" w:rsidRDefault="00C878E5" w:rsidP="0043717F">
            <w:pPr>
              <w:widowControl w:val="0"/>
              <w:autoSpaceDE w:val="0"/>
              <w:autoSpaceDN w:val="0"/>
              <w:spacing w:before="67"/>
              <w:rPr>
                <w:rFonts w:ascii="Avenir Next Ultra Light" w:hAnsi="Avenir Next Ultra Light"/>
                <w:color w:val="FFFFFF" w:themeColor="background1"/>
                <w:sz w:val="20"/>
                <w:szCs w:val="20"/>
              </w:rPr>
            </w:pPr>
            <w:r w:rsidRPr="00017EC5">
              <w:rPr>
                <w:rFonts w:ascii="Avenir Next" w:hAnsi="Avenir Next"/>
                <w:color w:val="FFFFFF" w:themeColor="background1"/>
                <w:sz w:val="20"/>
                <w:szCs w:val="20"/>
              </w:rPr>
              <w:t xml:space="preserve">Completeness: </w:t>
            </w:r>
            <w:r w:rsidRPr="00017EC5">
              <w:rPr>
                <w:rFonts w:ascii="Avenir Next Ultra Light" w:hAnsi="Avenir Next Ultra Light"/>
                <w:color w:val="FFFFFF" w:themeColor="background1"/>
                <w:sz w:val="20"/>
                <w:szCs w:val="20"/>
              </w:rPr>
              <w:t xml:space="preserve">the SIS will provide information on how all the safeguards referred to in appendix I to decision 1/CP.16 are being addressed and respected, and in correlation to the nature, scope and stage of design and implementation of the REDD+ actions. </w:t>
            </w:r>
            <w:r w:rsidRPr="00017EC5">
              <w:rPr>
                <w:rStyle w:val="FootnoteReference"/>
                <w:rFonts w:ascii="Avenir Next Ultra Light" w:hAnsi="Avenir Next Ultra Light"/>
                <w:color w:val="FFFFFF" w:themeColor="background1"/>
                <w:sz w:val="20"/>
                <w:szCs w:val="20"/>
              </w:rPr>
              <w:footnoteReference w:id="15"/>
            </w:r>
          </w:p>
          <w:p w14:paraId="32C25F2B" w14:textId="77777777" w:rsidR="00C878E5" w:rsidRPr="00C878E5" w:rsidRDefault="00C878E5" w:rsidP="0043717F">
            <w:pPr>
              <w:rPr>
                <w:rFonts w:ascii="Avenir Next" w:hAnsi="Avenir Next"/>
                <w:sz w:val="20"/>
                <w:szCs w:val="20"/>
              </w:rPr>
            </w:pPr>
          </w:p>
        </w:tc>
      </w:tr>
      <w:tr w:rsidR="00C878E5" w:rsidRPr="00DC5B18" w14:paraId="73431126" w14:textId="77777777" w:rsidTr="0043717F">
        <w:tc>
          <w:tcPr>
            <w:tcW w:w="4248" w:type="dxa"/>
            <w:shd w:val="clear" w:color="auto" w:fill="BDCEC9"/>
            <w:vAlign w:val="center"/>
          </w:tcPr>
          <w:p w14:paraId="09F6D70F" w14:textId="77777777" w:rsidR="00C878E5" w:rsidRPr="00017EC5" w:rsidRDefault="00C878E5" w:rsidP="0043717F">
            <w:pPr>
              <w:rPr>
                <w:rFonts w:ascii="Bodoni 72 Book" w:hAnsi="Bodoni 72 Book"/>
                <w:sz w:val="22"/>
                <w:szCs w:val="22"/>
              </w:rPr>
            </w:pPr>
            <w:r w:rsidRPr="00017EC5">
              <w:rPr>
                <w:rFonts w:ascii="Bodoni 72 Book" w:hAnsi="Bodoni 72 Book"/>
                <w:sz w:val="22"/>
                <w:szCs w:val="22"/>
              </w:rPr>
              <w:t>Questions</w:t>
            </w:r>
          </w:p>
        </w:tc>
        <w:tc>
          <w:tcPr>
            <w:tcW w:w="2126" w:type="dxa"/>
            <w:shd w:val="clear" w:color="auto" w:fill="BDCEC9"/>
            <w:vAlign w:val="center"/>
          </w:tcPr>
          <w:p w14:paraId="5DA51DF5" w14:textId="77777777" w:rsidR="00C878E5" w:rsidRPr="00017EC5" w:rsidRDefault="00C878E5" w:rsidP="00017EC5">
            <w:pPr>
              <w:jc w:val="center"/>
              <w:rPr>
                <w:rFonts w:ascii="Bodoni 72 Book" w:hAnsi="Bodoni 72 Book"/>
                <w:sz w:val="22"/>
                <w:szCs w:val="22"/>
              </w:rPr>
            </w:pPr>
            <w:r w:rsidRPr="00017EC5">
              <w:rPr>
                <w:rFonts w:ascii="Bodoni 72 Book" w:hAnsi="Bodoni 72 Book"/>
                <w:sz w:val="22"/>
                <w:szCs w:val="22"/>
              </w:rPr>
              <w:t>Scoring</w:t>
            </w:r>
          </w:p>
          <w:p w14:paraId="227B3319" w14:textId="77777777" w:rsidR="00C878E5" w:rsidRPr="00017EC5" w:rsidRDefault="00C878E5" w:rsidP="00017EC5">
            <w:pPr>
              <w:jc w:val="center"/>
              <w:rPr>
                <w:rFonts w:ascii="Bodoni 72 Book" w:hAnsi="Bodoni 72 Book"/>
                <w:sz w:val="22"/>
                <w:szCs w:val="22"/>
              </w:rPr>
            </w:pPr>
            <w:r w:rsidRPr="00017EC5">
              <w:rPr>
                <w:rFonts w:ascii="Bodoni 72 Book" w:hAnsi="Bodoni 72 Book"/>
                <w:sz w:val="22"/>
                <w:szCs w:val="22"/>
              </w:rPr>
              <w:t>(Yes/No/Partially)</w:t>
            </w:r>
          </w:p>
        </w:tc>
        <w:tc>
          <w:tcPr>
            <w:tcW w:w="4360" w:type="dxa"/>
            <w:shd w:val="clear" w:color="auto" w:fill="BDCEC9"/>
            <w:vAlign w:val="center"/>
          </w:tcPr>
          <w:p w14:paraId="6B63F98E" w14:textId="77777777" w:rsidR="00C878E5" w:rsidRPr="00017EC5" w:rsidRDefault="00C878E5" w:rsidP="00017EC5">
            <w:pPr>
              <w:jc w:val="center"/>
              <w:rPr>
                <w:rFonts w:ascii="Bodoni 72 Book" w:hAnsi="Bodoni 72 Book"/>
                <w:sz w:val="22"/>
                <w:szCs w:val="22"/>
              </w:rPr>
            </w:pPr>
            <w:r w:rsidRPr="00017EC5">
              <w:rPr>
                <w:rFonts w:ascii="Bodoni 72 Book" w:hAnsi="Bodoni 72 Book"/>
                <w:sz w:val="22"/>
                <w:szCs w:val="22"/>
              </w:rPr>
              <w:t>Findings</w:t>
            </w:r>
          </w:p>
        </w:tc>
        <w:tc>
          <w:tcPr>
            <w:tcW w:w="3578" w:type="dxa"/>
            <w:shd w:val="clear" w:color="auto" w:fill="BDCEC9"/>
            <w:vAlign w:val="center"/>
          </w:tcPr>
          <w:p w14:paraId="7569B49E" w14:textId="77777777" w:rsidR="00C878E5" w:rsidRPr="00017EC5" w:rsidRDefault="00C878E5" w:rsidP="00017EC5">
            <w:pPr>
              <w:jc w:val="center"/>
              <w:rPr>
                <w:rFonts w:ascii="Bodoni 72 Book" w:hAnsi="Bodoni 72 Book"/>
                <w:sz w:val="22"/>
                <w:szCs w:val="22"/>
              </w:rPr>
            </w:pPr>
            <w:r w:rsidRPr="00017EC5">
              <w:rPr>
                <w:rFonts w:ascii="Bodoni 72 Book" w:hAnsi="Bodoni 72 Book"/>
                <w:sz w:val="22"/>
                <w:szCs w:val="22"/>
              </w:rPr>
              <w:t>Means of verification</w:t>
            </w:r>
          </w:p>
        </w:tc>
      </w:tr>
      <w:tr w:rsidR="00C878E5" w14:paraId="3885C9E9" w14:textId="77777777" w:rsidTr="0043717F">
        <w:tc>
          <w:tcPr>
            <w:tcW w:w="4248" w:type="dxa"/>
            <w:vAlign w:val="center"/>
          </w:tcPr>
          <w:p w14:paraId="6EF5D377" w14:textId="77777777" w:rsidR="00C878E5" w:rsidRPr="00C878E5" w:rsidRDefault="00C878E5" w:rsidP="00E564F0">
            <w:pPr>
              <w:pStyle w:val="ListParagraph"/>
              <w:numPr>
                <w:ilvl w:val="0"/>
                <w:numId w:val="14"/>
              </w:numPr>
              <w:rPr>
                <w:rFonts w:ascii="Avenir Next" w:hAnsi="Avenir Next"/>
                <w:sz w:val="20"/>
                <w:szCs w:val="20"/>
              </w:rPr>
            </w:pPr>
            <w:r w:rsidRPr="00C878E5">
              <w:rPr>
                <w:rFonts w:ascii="Avenir Next" w:hAnsi="Avenir Next"/>
                <w:sz w:val="20"/>
                <w:szCs w:val="20"/>
              </w:rPr>
              <w:t>Does the SIS (or equivalent) have indicators covering each of the seven Cancun safeguards?</w:t>
            </w:r>
          </w:p>
          <w:p w14:paraId="67BE7563" w14:textId="77777777" w:rsidR="00C878E5" w:rsidRPr="00C878E5" w:rsidRDefault="00C878E5" w:rsidP="0043717F">
            <w:pPr>
              <w:pStyle w:val="ListParagraph"/>
              <w:rPr>
                <w:rFonts w:ascii="Avenir Next" w:hAnsi="Avenir Next"/>
                <w:sz w:val="20"/>
                <w:szCs w:val="20"/>
              </w:rPr>
            </w:pPr>
          </w:p>
        </w:tc>
        <w:tc>
          <w:tcPr>
            <w:tcW w:w="2126" w:type="dxa"/>
          </w:tcPr>
          <w:p w14:paraId="10AA4C3B" w14:textId="77777777" w:rsidR="00C878E5" w:rsidRPr="00C878E5" w:rsidRDefault="00C878E5" w:rsidP="00CE0AF6">
            <w:pPr>
              <w:rPr>
                <w:rFonts w:ascii="Avenir Next" w:hAnsi="Avenir Next"/>
                <w:sz w:val="20"/>
                <w:szCs w:val="20"/>
              </w:rPr>
            </w:pPr>
          </w:p>
        </w:tc>
        <w:tc>
          <w:tcPr>
            <w:tcW w:w="4360" w:type="dxa"/>
          </w:tcPr>
          <w:p w14:paraId="703B312C" w14:textId="77777777" w:rsidR="00C878E5" w:rsidRPr="00C878E5" w:rsidRDefault="00C878E5" w:rsidP="00CE0AF6">
            <w:pPr>
              <w:rPr>
                <w:rFonts w:ascii="Avenir Next" w:hAnsi="Avenir Next"/>
                <w:sz w:val="20"/>
                <w:szCs w:val="20"/>
              </w:rPr>
            </w:pPr>
          </w:p>
        </w:tc>
        <w:tc>
          <w:tcPr>
            <w:tcW w:w="3578" w:type="dxa"/>
          </w:tcPr>
          <w:p w14:paraId="29DA589A" w14:textId="77777777" w:rsidR="00C878E5" w:rsidRPr="00C878E5" w:rsidRDefault="00C878E5" w:rsidP="00CE0AF6">
            <w:pPr>
              <w:rPr>
                <w:rFonts w:ascii="Avenir Next" w:hAnsi="Avenir Next"/>
                <w:sz w:val="20"/>
                <w:szCs w:val="20"/>
              </w:rPr>
            </w:pPr>
          </w:p>
        </w:tc>
      </w:tr>
      <w:tr w:rsidR="00C878E5" w14:paraId="322BDFB2" w14:textId="77777777" w:rsidTr="0043717F">
        <w:tc>
          <w:tcPr>
            <w:tcW w:w="4248" w:type="dxa"/>
            <w:vAlign w:val="center"/>
          </w:tcPr>
          <w:p w14:paraId="7F9FD1CC" w14:textId="77777777" w:rsidR="00C878E5" w:rsidRPr="00C878E5" w:rsidRDefault="00C878E5" w:rsidP="00E564F0">
            <w:pPr>
              <w:pStyle w:val="ListParagraph"/>
              <w:numPr>
                <w:ilvl w:val="0"/>
                <w:numId w:val="14"/>
              </w:numPr>
              <w:rPr>
                <w:rFonts w:ascii="Avenir Next" w:hAnsi="Avenir Next"/>
                <w:sz w:val="20"/>
                <w:szCs w:val="20"/>
              </w:rPr>
            </w:pPr>
            <w:r w:rsidRPr="00C878E5">
              <w:rPr>
                <w:rFonts w:ascii="Avenir Next" w:hAnsi="Avenir Next"/>
                <w:sz w:val="20"/>
                <w:szCs w:val="20"/>
              </w:rPr>
              <w:t xml:space="preserve">Have the SIS’s indicators (or equivalent) </w:t>
            </w:r>
            <w:r w:rsidRPr="00C878E5">
              <w:rPr>
                <w:rFonts w:ascii="Avenir Next" w:hAnsi="Avenir Next"/>
                <w:sz w:val="20"/>
                <w:szCs w:val="20"/>
                <w:lang w:val="en-US"/>
              </w:rPr>
              <w:t xml:space="preserve">been framed in correlation to distinct scope and nature of the REDD+ actions under implementation? </w:t>
            </w:r>
          </w:p>
          <w:p w14:paraId="31407D5D" w14:textId="77777777" w:rsidR="00C878E5" w:rsidRPr="00C878E5" w:rsidRDefault="00C878E5" w:rsidP="0043717F">
            <w:pPr>
              <w:pStyle w:val="ListParagraph"/>
              <w:rPr>
                <w:rFonts w:ascii="Avenir Next" w:hAnsi="Avenir Next"/>
                <w:sz w:val="20"/>
                <w:szCs w:val="20"/>
              </w:rPr>
            </w:pPr>
          </w:p>
        </w:tc>
        <w:tc>
          <w:tcPr>
            <w:tcW w:w="2126" w:type="dxa"/>
          </w:tcPr>
          <w:p w14:paraId="1216352D" w14:textId="77777777" w:rsidR="00C878E5" w:rsidRPr="00C878E5" w:rsidRDefault="00C878E5" w:rsidP="00CE0AF6">
            <w:pPr>
              <w:rPr>
                <w:rFonts w:ascii="Avenir Next" w:hAnsi="Avenir Next"/>
                <w:sz w:val="20"/>
                <w:szCs w:val="20"/>
              </w:rPr>
            </w:pPr>
          </w:p>
        </w:tc>
        <w:tc>
          <w:tcPr>
            <w:tcW w:w="4360" w:type="dxa"/>
          </w:tcPr>
          <w:p w14:paraId="7902B166" w14:textId="77777777" w:rsidR="00C878E5" w:rsidRPr="00C878E5" w:rsidRDefault="00C878E5" w:rsidP="00CE0AF6">
            <w:pPr>
              <w:rPr>
                <w:rFonts w:ascii="Avenir Next" w:hAnsi="Avenir Next"/>
                <w:sz w:val="20"/>
                <w:szCs w:val="20"/>
              </w:rPr>
            </w:pPr>
          </w:p>
        </w:tc>
        <w:tc>
          <w:tcPr>
            <w:tcW w:w="3578" w:type="dxa"/>
          </w:tcPr>
          <w:p w14:paraId="775C7CC7" w14:textId="77777777" w:rsidR="00C878E5" w:rsidRPr="00C878E5" w:rsidRDefault="00C878E5" w:rsidP="00CE0AF6">
            <w:pPr>
              <w:rPr>
                <w:rFonts w:ascii="Avenir Next" w:hAnsi="Avenir Next"/>
                <w:sz w:val="20"/>
                <w:szCs w:val="20"/>
              </w:rPr>
            </w:pPr>
          </w:p>
        </w:tc>
      </w:tr>
      <w:tr w:rsidR="00C878E5" w14:paraId="6AD6A1EA" w14:textId="77777777" w:rsidTr="0043717F">
        <w:tc>
          <w:tcPr>
            <w:tcW w:w="4248" w:type="dxa"/>
            <w:vAlign w:val="center"/>
          </w:tcPr>
          <w:p w14:paraId="58317DD0" w14:textId="77777777" w:rsidR="00C878E5" w:rsidRPr="00C878E5" w:rsidRDefault="00C878E5" w:rsidP="00E564F0">
            <w:pPr>
              <w:pStyle w:val="ListParagraph"/>
              <w:numPr>
                <w:ilvl w:val="0"/>
                <w:numId w:val="14"/>
              </w:numPr>
              <w:rPr>
                <w:rFonts w:ascii="Avenir Next" w:hAnsi="Avenir Next"/>
                <w:sz w:val="20"/>
                <w:szCs w:val="20"/>
              </w:rPr>
            </w:pPr>
            <w:r w:rsidRPr="00C878E5">
              <w:rPr>
                <w:rFonts w:ascii="Avenir Next" w:hAnsi="Avenir Next"/>
                <w:sz w:val="20"/>
                <w:szCs w:val="20"/>
              </w:rPr>
              <w:t xml:space="preserve">Do the SIS’s indicators (or equivalent) distinguish between the provision of information for demonstrating the Cancun </w:t>
            </w:r>
            <w:r w:rsidRPr="00C878E5">
              <w:rPr>
                <w:rFonts w:ascii="Avenir Next" w:hAnsi="Avenir Next"/>
                <w:sz w:val="20"/>
                <w:szCs w:val="20"/>
              </w:rPr>
              <w:lastRenderedPageBreak/>
              <w:t>safeguards have been ‘addressed’ and ‘respected’?</w:t>
            </w:r>
          </w:p>
          <w:p w14:paraId="7DB47FB5" w14:textId="77777777" w:rsidR="00C878E5" w:rsidRPr="00C878E5" w:rsidRDefault="00C878E5" w:rsidP="0043717F">
            <w:pPr>
              <w:pStyle w:val="ListParagraph"/>
              <w:rPr>
                <w:rFonts w:ascii="Avenir Next" w:hAnsi="Avenir Next"/>
                <w:sz w:val="20"/>
                <w:szCs w:val="20"/>
              </w:rPr>
            </w:pPr>
          </w:p>
        </w:tc>
        <w:tc>
          <w:tcPr>
            <w:tcW w:w="2126" w:type="dxa"/>
          </w:tcPr>
          <w:p w14:paraId="10943938" w14:textId="77777777" w:rsidR="00C878E5" w:rsidRPr="00C878E5" w:rsidRDefault="00C878E5" w:rsidP="00CE0AF6">
            <w:pPr>
              <w:rPr>
                <w:rFonts w:ascii="Avenir Next" w:hAnsi="Avenir Next"/>
                <w:sz w:val="20"/>
                <w:szCs w:val="20"/>
              </w:rPr>
            </w:pPr>
          </w:p>
        </w:tc>
        <w:tc>
          <w:tcPr>
            <w:tcW w:w="4360" w:type="dxa"/>
          </w:tcPr>
          <w:p w14:paraId="2163D391" w14:textId="77777777" w:rsidR="00C878E5" w:rsidRPr="00C878E5" w:rsidRDefault="00C878E5" w:rsidP="00CE0AF6">
            <w:pPr>
              <w:rPr>
                <w:rFonts w:ascii="Avenir Next" w:hAnsi="Avenir Next"/>
                <w:sz w:val="20"/>
                <w:szCs w:val="20"/>
              </w:rPr>
            </w:pPr>
          </w:p>
        </w:tc>
        <w:tc>
          <w:tcPr>
            <w:tcW w:w="3578" w:type="dxa"/>
          </w:tcPr>
          <w:p w14:paraId="0DB81A53" w14:textId="77777777" w:rsidR="00C878E5" w:rsidRPr="00C878E5" w:rsidRDefault="00C878E5" w:rsidP="00CE0AF6">
            <w:pPr>
              <w:rPr>
                <w:rFonts w:ascii="Avenir Next" w:hAnsi="Avenir Next"/>
                <w:sz w:val="20"/>
                <w:szCs w:val="20"/>
              </w:rPr>
            </w:pPr>
          </w:p>
        </w:tc>
      </w:tr>
      <w:tr w:rsidR="00C878E5" w14:paraId="564A8E4C" w14:textId="77777777" w:rsidTr="0043717F">
        <w:tc>
          <w:tcPr>
            <w:tcW w:w="4248" w:type="dxa"/>
            <w:vAlign w:val="center"/>
          </w:tcPr>
          <w:p w14:paraId="470E7DF3" w14:textId="77777777" w:rsidR="00C878E5" w:rsidRPr="00C878E5" w:rsidRDefault="00C878E5" w:rsidP="00E564F0">
            <w:pPr>
              <w:pStyle w:val="ListParagraph"/>
              <w:numPr>
                <w:ilvl w:val="0"/>
                <w:numId w:val="14"/>
              </w:numPr>
              <w:rPr>
                <w:rFonts w:ascii="Avenir Next" w:hAnsi="Avenir Next"/>
                <w:sz w:val="20"/>
                <w:szCs w:val="20"/>
              </w:rPr>
            </w:pPr>
            <w:r w:rsidRPr="00C878E5">
              <w:rPr>
                <w:rFonts w:ascii="Avenir Next" w:hAnsi="Avenir Next"/>
                <w:sz w:val="20"/>
                <w:szCs w:val="20"/>
              </w:rPr>
              <w:t>As relevant- Do these indicators cover all ‘structure, process outcome’ indicators of TREES?</w:t>
            </w:r>
            <w:r w:rsidRPr="00C878E5">
              <w:rPr>
                <w:rStyle w:val="FootnoteReference"/>
                <w:rFonts w:ascii="Avenir Next" w:hAnsi="Avenir Next"/>
                <w:sz w:val="20"/>
                <w:szCs w:val="20"/>
              </w:rPr>
              <w:footnoteReference w:id="16"/>
            </w:r>
          </w:p>
          <w:p w14:paraId="1202BB5B" w14:textId="77777777" w:rsidR="00C878E5" w:rsidRPr="00C878E5" w:rsidRDefault="00C878E5" w:rsidP="0043717F">
            <w:pPr>
              <w:rPr>
                <w:rFonts w:ascii="Avenir Next" w:hAnsi="Avenir Next"/>
                <w:sz w:val="20"/>
                <w:szCs w:val="20"/>
              </w:rPr>
            </w:pPr>
          </w:p>
        </w:tc>
        <w:tc>
          <w:tcPr>
            <w:tcW w:w="2126" w:type="dxa"/>
          </w:tcPr>
          <w:p w14:paraId="0DDA5100" w14:textId="77777777" w:rsidR="00C878E5" w:rsidRPr="00C878E5" w:rsidRDefault="00C878E5" w:rsidP="00CE0AF6">
            <w:pPr>
              <w:rPr>
                <w:rFonts w:ascii="Avenir Next" w:hAnsi="Avenir Next"/>
                <w:sz w:val="20"/>
                <w:szCs w:val="20"/>
              </w:rPr>
            </w:pPr>
          </w:p>
        </w:tc>
        <w:tc>
          <w:tcPr>
            <w:tcW w:w="4360" w:type="dxa"/>
          </w:tcPr>
          <w:p w14:paraId="0B6236A8" w14:textId="77777777" w:rsidR="00C878E5" w:rsidRPr="00C878E5" w:rsidRDefault="00C878E5" w:rsidP="00CE0AF6">
            <w:pPr>
              <w:rPr>
                <w:rFonts w:ascii="Avenir Next" w:hAnsi="Avenir Next"/>
                <w:sz w:val="20"/>
                <w:szCs w:val="20"/>
              </w:rPr>
            </w:pPr>
          </w:p>
        </w:tc>
        <w:tc>
          <w:tcPr>
            <w:tcW w:w="3578" w:type="dxa"/>
          </w:tcPr>
          <w:p w14:paraId="51D793B6" w14:textId="77777777" w:rsidR="00C878E5" w:rsidRPr="00C878E5" w:rsidRDefault="00C878E5" w:rsidP="00CE0AF6">
            <w:pPr>
              <w:rPr>
                <w:rFonts w:ascii="Avenir Next" w:hAnsi="Avenir Next"/>
                <w:sz w:val="20"/>
                <w:szCs w:val="20"/>
              </w:rPr>
            </w:pPr>
          </w:p>
        </w:tc>
      </w:tr>
    </w:tbl>
    <w:p w14:paraId="49E116B4" w14:textId="77777777" w:rsidR="00C878E5" w:rsidRPr="00C878E5" w:rsidRDefault="00C878E5">
      <w:pPr>
        <w:spacing w:before="120" w:after="120" w:line="336" w:lineRule="auto"/>
        <w:rPr>
          <w:rFonts w:ascii="Avenir Next" w:hAnsi="Avenir Next"/>
          <w:sz w:val="20"/>
          <w:szCs w:val="20"/>
        </w:rPr>
      </w:pPr>
    </w:p>
    <w:p w14:paraId="30AEE72D" w14:textId="77777777" w:rsidR="0043717F" w:rsidRDefault="0043717F">
      <w:pPr>
        <w:spacing w:before="120" w:after="120" w:line="336" w:lineRule="auto"/>
        <w:rPr>
          <w:rFonts w:ascii="Montserrat" w:eastAsia="Montserrat" w:hAnsi="Montserrat" w:cs="Montserrat"/>
          <w:color w:val="00646A"/>
          <w:sz w:val="64"/>
          <w:szCs w:val="64"/>
        </w:rPr>
        <w:sectPr w:rsidR="0043717F" w:rsidSect="00A561A9">
          <w:pgSz w:w="16845" w:h="11910" w:orient="landscape"/>
          <w:pgMar w:top="1440" w:right="1440" w:bottom="1440" w:left="1440" w:header="720" w:footer="720" w:gutter="0"/>
          <w:cols w:space="720"/>
          <w:docGrid w:linePitch="326"/>
        </w:sectPr>
      </w:pPr>
    </w:p>
    <w:p w14:paraId="01CBCF75" w14:textId="16845DC4" w:rsidR="00ED7BA2" w:rsidRPr="0043717F" w:rsidRDefault="0043717F">
      <w:pPr>
        <w:spacing w:before="120" w:after="120" w:line="336" w:lineRule="auto"/>
        <w:rPr>
          <w:rFonts w:ascii="Bodoni 72 Book" w:hAnsi="Bodoni 72 Book"/>
        </w:rPr>
      </w:pPr>
      <w:r w:rsidRPr="0043717F">
        <w:rPr>
          <w:rFonts w:ascii="Bodoni 72 Book" w:eastAsia="Montserrat" w:hAnsi="Bodoni 72 Book" w:cs="Montserrat"/>
          <w:color w:val="00646A"/>
          <w:sz w:val="64"/>
          <w:szCs w:val="64"/>
        </w:rPr>
        <w:lastRenderedPageBreak/>
        <w:t>Section B: Template Report for the Qualitative</w:t>
      </w:r>
      <w:r>
        <w:rPr>
          <w:rFonts w:ascii="Bodoni 72 Book" w:eastAsia="Montserrat" w:hAnsi="Bodoni 72 Book" w:cs="Montserrat"/>
          <w:color w:val="00646A"/>
          <w:sz w:val="64"/>
          <w:szCs w:val="64"/>
        </w:rPr>
        <w:t xml:space="preserve"> </w:t>
      </w:r>
      <w:r w:rsidRPr="0043717F">
        <w:rPr>
          <w:rFonts w:ascii="Bodoni 72 Book" w:eastAsia="Montserrat" w:hAnsi="Bodoni 72 Book" w:cs="Montserrat"/>
          <w:color w:val="00646A"/>
          <w:sz w:val="64"/>
          <w:szCs w:val="64"/>
        </w:rPr>
        <w:t xml:space="preserve">Assessment  </w:t>
      </w:r>
    </w:p>
    <w:p w14:paraId="02E27D98" w14:textId="77777777" w:rsidR="00ED7BA2" w:rsidRDefault="00ED7BA2">
      <w:pPr>
        <w:pBdr>
          <w:bottom w:val="single" w:sz="6" w:space="0" w:color="076C72"/>
        </w:pBdr>
        <w:spacing w:before="120" w:after="120" w:line="0" w:lineRule="auto"/>
      </w:pPr>
    </w:p>
    <w:p w14:paraId="34B73818" w14:textId="3629D2CF" w:rsidR="0043717F" w:rsidRPr="0043717F" w:rsidRDefault="0043717F" w:rsidP="0043717F">
      <w:pPr>
        <w:spacing w:before="120" w:after="120" w:line="336" w:lineRule="auto"/>
        <w:rPr>
          <w:rFonts w:ascii="Avenir Next" w:eastAsia="IBM Plex Sans" w:hAnsi="Avenir Next" w:cs="IBM Plex Sans"/>
          <w:color w:val="000000"/>
          <w:sz w:val="20"/>
          <w:szCs w:val="20"/>
        </w:rPr>
      </w:pPr>
      <w:r w:rsidRPr="0043717F">
        <w:rPr>
          <w:rFonts w:ascii="Avenir Next" w:eastAsia="IBM Plex Sans" w:hAnsi="Avenir Next" w:cs="IBM Plex Sans"/>
          <w:color w:val="000000"/>
          <w:sz w:val="20"/>
          <w:szCs w:val="20"/>
        </w:rPr>
        <w:t xml:space="preserve">To complete this template report, users (with the support of selected expert international organization) should consider the answers provided in ‘Section A’ above. In completing this template, users will need to consider the scope of each column as follows: </w:t>
      </w:r>
    </w:p>
    <w:p w14:paraId="6EF2C5AE" w14:textId="77777777" w:rsidR="0043717F" w:rsidRDefault="0043717F" w:rsidP="0043717F">
      <w:pPr>
        <w:pStyle w:val="ListParagraph"/>
        <w:numPr>
          <w:ilvl w:val="0"/>
          <w:numId w:val="16"/>
        </w:numPr>
        <w:spacing w:before="120" w:after="120" w:line="336" w:lineRule="auto"/>
        <w:rPr>
          <w:rFonts w:ascii="Avenir Next" w:eastAsia="IBM Plex Sans" w:hAnsi="Avenir Next" w:cs="IBM Plex Sans"/>
          <w:color w:val="000000"/>
          <w:sz w:val="20"/>
          <w:szCs w:val="20"/>
        </w:rPr>
      </w:pPr>
      <w:r w:rsidRPr="0043717F">
        <w:rPr>
          <w:rFonts w:ascii="Avenir Next" w:eastAsia="IBM Plex Sans" w:hAnsi="Avenir Next" w:cs="IBM Plex Sans"/>
          <w:color w:val="000000"/>
          <w:sz w:val="20"/>
          <w:szCs w:val="20"/>
        </w:rPr>
        <w:t>Column 2 (Shortcomings or Gaps Identified): for users to identify and summarize the key shortcomings or gaps (issues of non-conformance) identified in correlation to each of the SIS’s characteristics, that is, when the scoring identified was ‘Partially’ or ‘No’ in ‘Section A’. There is also an opportunity to identify general gaps or shortcomings.</w:t>
      </w:r>
    </w:p>
    <w:p w14:paraId="2272F8E2" w14:textId="5ED00F96" w:rsidR="0043717F" w:rsidRDefault="0043717F" w:rsidP="0043717F">
      <w:pPr>
        <w:pStyle w:val="ListParagraph"/>
        <w:numPr>
          <w:ilvl w:val="0"/>
          <w:numId w:val="16"/>
        </w:numPr>
        <w:spacing w:before="120" w:after="120" w:line="336" w:lineRule="auto"/>
        <w:rPr>
          <w:rFonts w:ascii="Avenir Next" w:eastAsia="IBM Plex Sans" w:hAnsi="Avenir Next" w:cs="IBM Plex Sans"/>
          <w:color w:val="000000"/>
          <w:sz w:val="20"/>
          <w:szCs w:val="20"/>
        </w:rPr>
      </w:pPr>
      <w:r w:rsidRPr="0043717F">
        <w:rPr>
          <w:rFonts w:ascii="Avenir Next" w:eastAsia="IBM Plex Sans" w:hAnsi="Avenir Next" w:cs="IBM Plex Sans"/>
          <w:color w:val="000000"/>
          <w:sz w:val="20"/>
          <w:szCs w:val="20"/>
        </w:rPr>
        <w:t xml:space="preserve">Column 3 (Recommendations): for users to identify actions/recommendations to be taken to address these key shortcomings or gaps. </w:t>
      </w:r>
    </w:p>
    <w:tbl>
      <w:tblPr>
        <w:tblStyle w:val="TableGrid"/>
        <w:tblW w:w="5000" w:type="pct"/>
        <w:tblBorders>
          <w:top w:val="single" w:sz="6" w:space="0" w:color="00636A"/>
          <w:left w:val="single" w:sz="6" w:space="0" w:color="00636A"/>
          <w:bottom w:val="single" w:sz="6" w:space="0" w:color="00636A"/>
          <w:right w:val="single" w:sz="6" w:space="0" w:color="00636A"/>
          <w:insideH w:val="single" w:sz="6" w:space="0" w:color="00636A"/>
          <w:insideV w:val="single" w:sz="6" w:space="0" w:color="00636A"/>
        </w:tblBorders>
        <w:tblLook w:val="04A0" w:firstRow="1" w:lastRow="0" w:firstColumn="1" w:lastColumn="0" w:noHBand="0" w:noVBand="1"/>
      </w:tblPr>
      <w:tblGrid>
        <w:gridCol w:w="2158"/>
        <w:gridCol w:w="6197"/>
        <w:gridCol w:w="5826"/>
      </w:tblGrid>
      <w:tr w:rsidR="0043717F" w:rsidRPr="004427E7" w14:paraId="25E42D9C" w14:textId="77777777" w:rsidTr="0043717F">
        <w:tc>
          <w:tcPr>
            <w:tcW w:w="761" w:type="pct"/>
            <w:shd w:val="clear" w:color="auto" w:fill="00636A"/>
          </w:tcPr>
          <w:p w14:paraId="61EAA901" w14:textId="77777777" w:rsidR="0043717F" w:rsidRPr="0043717F" w:rsidRDefault="0043717F" w:rsidP="00CE0AF6">
            <w:pPr>
              <w:jc w:val="center"/>
              <w:rPr>
                <w:rFonts w:ascii="Bodoni 72 Book" w:hAnsi="Bodoni 72 Book"/>
                <w:color w:val="FFFFFF" w:themeColor="background1"/>
                <w:sz w:val="22"/>
                <w:szCs w:val="22"/>
              </w:rPr>
            </w:pPr>
            <w:r w:rsidRPr="0043717F">
              <w:rPr>
                <w:rFonts w:ascii="Bodoni 72 Book" w:hAnsi="Bodoni 72 Book"/>
                <w:color w:val="FFFFFF" w:themeColor="background1"/>
                <w:sz w:val="22"/>
                <w:szCs w:val="22"/>
              </w:rPr>
              <w:t>SIS Characteristics</w:t>
            </w:r>
          </w:p>
        </w:tc>
        <w:tc>
          <w:tcPr>
            <w:tcW w:w="2185" w:type="pct"/>
            <w:shd w:val="clear" w:color="auto" w:fill="00636A"/>
          </w:tcPr>
          <w:p w14:paraId="02627D42" w14:textId="77777777" w:rsidR="0043717F" w:rsidRPr="0043717F" w:rsidRDefault="0043717F" w:rsidP="00CE0AF6">
            <w:pPr>
              <w:jc w:val="center"/>
              <w:rPr>
                <w:rFonts w:ascii="Bodoni 72 Book" w:hAnsi="Bodoni 72 Book"/>
                <w:color w:val="FFFFFF" w:themeColor="background1"/>
                <w:sz w:val="22"/>
                <w:szCs w:val="22"/>
              </w:rPr>
            </w:pPr>
            <w:r w:rsidRPr="0043717F">
              <w:rPr>
                <w:rFonts w:ascii="Bodoni 72 Book" w:hAnsi="Bodoni 72 Book"/>
                <w:color w:val="FFFFFF" w:themeColor="background1"/>
                <w:sz w:val="22"/>
                <w:szCs w:val="22"/>
              </w:rPr>
              <w:t>Shortcomings/Gaps Identified</w:t>
            </w:r>
          </w:p>
        </w:tc>
        <w:tc>
          <w:tcPr>
            <w:tcW w:w="2054" w:type="pct"/>
            <w:shd w:val="clear" w:color="auto" w:fill="00636A"/>
          </w:tcPr>
          <w:p w14:paraId="176C040D" w14:textId="77777777" w:rsidR="0043717F" w:rsidRPr="0043717F" w:rsidRDefault="0043717F" w:rsidP="00CE0AF6">
            <w:pPr>
              <w:jc w:val="center"/>
              <w:rPr>
                <w:rFonts w:ascii="Bodoni 72 Book" w:hAnsi="Bodoni 72 Book"/>
                <w:color w:val="FFFFFF" w:themeColor="background1"/>
                <w:sz w:val="22"/>
                <w:szCs w:val="22"/>
              </w:rPr>
            </w:pPr>
            <w:r w:rsidRPr="0043717F">
              <w:rPr>
                <w:rFonts w:ascii="Bodoni 72 Book" w:hAnsi="Bodoni 72 Book"/>
                <w:color w:val="FFFFFF" w:themeColor="background1"/>
                <w:sz w:val="22"/>
                <w:szCs w:val="22"/>
              </w:rPr>
              <w:t>Recommendations for SIS or equivalent</w:t>
            </w:r>
          </w:p>
        </w:tc>
      </w:tr>
      <w:tr w:rsidR="0043717F" w:rsidRPr="004427E7" w14:paraId="27364A28" w14:textId="77777777" w:rsidTr="0043717F">
        <w:tc>
          <w:tcPr>
            <w:tcW w:w="761" w:type="pct"/>
            <w:shd w:val="clear" w:color="auto" w:fill="BDCEC9"/>
          </w:tcPr>
          <w:p w14:paraId="3DB67DB5" w14:textId="77777777" w:rsidR="0043717F" w:rsidRPr="0043717F" w:rsidRDefault="0043717F" w:rsidP="00CE0AF6">
            <w:pPr>
              <w:rPr>
                <w:rFonts w:ascii="Avenir Next" w:hAnsi="Avenir Next"/>
                <w:sz w:val="20"/>
                <w:szCs w:val="18"/>
              </w:rPr>
            </w:pPr>
            <w:r w:rsidRPr="0043717F">
              <w:rPr>
                <w:rFonts w:ascii="Avenir Next" w:hAnsi="Avenir Next"/>
                <w:sz w:val="20"/>
                <w:szCs w:val="18"/>
              </w:rPr>
              <w:t>Country driven</w:t>
            </w:r>
          </w:p>
        </w:tc>
        <w:tc>
          <w:tcPr>
            <w:tcW w:w="2185" w:type="pct"/>
            <w:shd w:val="clear" w:color="auto" w:fill="FFFFFF" w:themeFill="background1"/>
          </w:tcPr>
          <w:p w14:paraId="1D015FE6" w14:textId="77777777" w:rsidR="0043717F" w:rsidRPr="0043717F" w:rsidRDefault="0043717F" w:rsidP="00CE0AF6">
            <w:pPr>
              <w:rPr>
                <w:rFonts w:ascii="Avenir Next" w:hAnsi="Avenir Next"/>
                <w:sz w:val="20"/>
                <w:szCs w:val="18"/>
              </w:rPr>
            </w:pPr>
          </w:p>
        </w:tc>
        <w:tc>
          <w:tcPr>
            <w:tcW w:w="2054" w:type="pct"/>
            <w:shd w:val="clear" w:color="auto" w:fill="FFFFFF" w:themeFill="background1"/>
          </w:tcPr>
          <w:p w14:paraId="58C8B78C" w14:textId="77777777" w:rsidR="0043717F" w:rsidRPr="0043717F" w:rsidRDefault="0043717F" w:rsidP="00CE0AF6">
            <w:pPr>
              <w:spacing w:before="40" w:after="40"/>
              <w:rPr>
                <w:rFonts w:ascii="Avenir Next" w:hAnsi="Avenir Next" w:cs="Arial"/>
                <w:sz w:val="20"/>
                <w:szCs w:val="18"/>
              </w:rPr>
            </w:pPr>
          </w:p>
        </w:tc>
      </w:tr>
      <w:tr w:rsidR="0043717F" w:rsidRPr="004427E7" w14:paraId="3E45DAA5" w14:textId="77777777" w:rsidTr="0043717F">
        <w:tc>
          <w:tcPr>
            <w:tcW w:w="761" w:type="pct"/>
            <w:shd w:val="clear" w:color="auto" w:fill="BDCEC9"/>
          </w:tcPr>
          <w:p w14:paraId="68C7A144" w14:textId="77777777" w:rsidR="0043717F" w:rsidRPr="0043717F" w:rsidRDefault="0043717F" w:rsidP="00CE0AF6">
            <w:pPr>
              <w:rPr>
                <w:rFonts w:ascii="Avenir Next" w:hAnsi="Avenir Next" w:cs="Calibri"/>
                <w:iCs/>
                <w:color w:val="000000" w:themeColor="text1"/>
                <w:sz w:val="20"/>
                <w:szCs w:val="18"/>
              </w:rPr>
            </w:pPr>
            <w:r w:rsidRPr="0043717F">
              <w:rPr>
                <w:rFonts w:ascii="Avenir Next" w:hAnsi="Avenir Next" w:cs="Calibri"/>
                <w:iCs/>
                <w:color w:val="000000" w:themeColor="text1"/>
                <w:sz w:val="20"/>
                <w:szCs w:val="18"/>
              </w:rPr>
              <w:t>Transparency</w:t>
            </w:r>
          </w:p>
          <w:p w14:paraId="4D82AB82" w14:textId="77777777" w:rsidR="0043717F" w:rsidRPr="0043717F" w:rsidRDefault="0043717F" w:rsidP="00CE0AF6">
            <w:pPr>
              <w:rPr>
                <w:rFonts w:ascii="Avenir Next" w:hAnsi="Avenir Next"/>
                <w:sz w:val="20"/>
                <w:szCs w:val="18"/>
              </w:rPr>
            </w:pPr>
          </w:p>
        </w:tc>
        <w:tc>
          <w:tcPr>
            <w:tcW w:w="2185" w:type="pct"/>
            <w:shd w:val="clear" w:color="auto" w:fill="FFFFFF" w:themeFill="background1"/>
          </w:tcPr>
          <w:p w14:paraId="28FA7318" w14:textId="77777777" w:rsidR="0043717F" w:rsidRPr="0043717F" w:rsidRDefault="0043717F" w:rsidP="00CE0AF6">
            <w:pPr>
              <w:rPr>
                <w:rFonts w:ascii="Avenir Next" w:hAnsi="Avenir Next"/>
                <w:sz w:val="20"/>
                <w:szCs w:val="18"/>
              </w:rPr>
            </w:pPr>
          </w:p>
        </w:tc>
        <w:tc>
          <w:tcPr>
            <w:tcW w:w="2054" w:type="pct"/>
            <w:shd w:val="clear" w:color="auto" w:fill="FFFFFF" w:themeFill="background1"/>
          </w:tcPr>
          <w:p w14:paraId="2B1E2388" w14:textId="77777777" w:rsidR="0043717F" w:rsidRPr="0043717F" w:rsidRDefault="0043717F" w:rsidP="00CE0AF6">
            <w:pPr>
              <w:rPr>
                <w:rFonts w:ascii="Avenir Next" w:hAnsi="Avenir Next"/>
                <w:sz w:val="20"/>
                <w:szCs w:val="18"/>
              </w:rPr>
            </w:pPr>
          </w:p>
        </w:tc>
      </w:tr>
      <w:tr w:rsidR="0043717F" w:rsidRPr="004427E7" w14:paraId="720129CC" w14:textId="77777777" w:rsidTr="0043717F">
        <w:tc>
          <w:tcPr>
            <w:tcW w:w="761" w:type="pct"/>
            <w:shd w:val="clear" w:color="auto" w:fill="BDCEC9"/>
          </w:tcPr>
          <w:p w14:paraId="18E1B54D" w14:textId="77777777" w:rsidR="0043717F" w:rsidRPr="0043717F" w:rsidRDefault="0043717F" w:rsidP="00CE0AF6">
            <w:pPr>
              <w:rPr>
                <w:rFonts w:ascii="Avenir Next" w:hAnsi="Avenir Next"/>
                <w:sz w:val="20"/>
                <w:szCs w:val="18"/>
              </w:rPr>
            </w:pPr>
            <w:r w:rsidRPr="0043717F">
              <w:rPr>
                <w:rFonts w:ascii="Avenir Next" w:hAnsi="Avenir Next"/>
                <w:sz w:val="20"/>
                <w:szCs w:val="18"/>
              </w:rPr>
              <w:t>Accessibility</w:t>
            </w:r>
          </w:p>
          <w:p w14:paraId="25F4F7C8" w14:textId="77777777" w:rsidR="0043717F" w:rsidRPr="0043717F" w:rsidRDefault="0043717F" w:rsidP="00CE0AF6">
            <w:pPr>
              <w:rPr>
                <w:rFonts w:ascii="Avenir Next" w:hAnsi="Avenir Next"/>
                <w:sz w:val="20"/>
                <w:szCs w:val="18"/>
              </w:rPr>
            </w:pPr>
          </w:p>
        </w:tc>
        <w:tc>
          <w:tcPr>
            <w:tcW w:w="2185" w:type="pct"/>
            <w:shd w:val="clear" w:color="auto" w:fill="FFFFFF" w:themeFill="background1"/>
          </w:tcPr>
          <w:p w14:paraId="41D27EF6" w14:textId="77777777" w:rsidR="0043717F" w:rsidRPr="0043717F" w:rsidRDefault="0043717F" w:rsidP="00CE0AF6">
            <w:pPr>
              <w:rPr>
                <w:rFonts w:ascii="Avenir Next" w:hAnsi="Avenir Next"/>
                <w:sz w:val="20"/>
                <w:szCs w:val="18"/>
              </w:rPr>
            </w:pPr>
          </w:p>
        </w:tc>
        <w:tc>
          <w:tcPr>
            <w:tcW w:w="2054" w:type="pct"/>
            <w:shd w:val="clear" w:color="auto" w:fill="FFFFFF" w:themeFill="background1"/>
          </w:tcPr>
          <w:p w14:paraId="435D6BE6" w14:textId="77777777" w:rsidR="0043717F" w:rsidRPr="0043717F" w:rsidRDefault="0043717F" w:rsidP="00CE0AF6">
            <w:pPr>
              <w:rPr>
                <w:rFonts w:ascii="Avenir Next" w:hAnsi="Avenir Next"/>
                <w:sz w:val="20"/>
                <w:szCs w:val="18"/>
              </w:rPr>
            </w:pPr>
          </w:p>
        </w:tc>
      </w:tr>
      <w:tr w:rsidR="0043717F" w:rsidRPr="004427E7" w14:paraId="6E7EEED0" w14:textId="77777777" w:rsidTr="0043717F">
        <w:tc>
          <w:tcPr>
            <w:tcW w:w="761" w:type="pct"/>
            <w:shd w:val="clear" w:color="auto" w:fill="BDCEC9"/>
          </w:tcPr>
          <w:p w14:paraId="31AD6FBF" w14:textId="77777777" w:rsidR="0043717F" w:rsidRPr="0043717F" w:rsidRDefault="0043717F" w:rsidP="00CE0AF6">
            <w:pPr>
              <w:rPr>
                <w:rFonts w:ascii="Avenir Next" w:hAnsi="Avenir Next"/>
                <w:sz w:val="20"/>
                <w:szCs w:val="18"/>
              </w:rPr>
            </w:pPr>
            <w:r w:rsidRPr="0043717F">
              <w:rPr>
                <w:rFonts w:ascii="Avenir Next" w:hAnsi="Avenir Next"/>
                <w:sz w:val="20"/>
                <w:szCs w:val="18"/>
              </w:rPr>
              <w:t>Flexibility</w:t>
            </w:r>
          </w:p>
          <w:p w14:paraId="65A4B6CB" w14:textId="77777777" w:rsidR="0043717F" w:rsidRPr="0043717F" w:rsidRDefault="0043717F" w:rsidP="00CE0AF6">
            <w:pPr>
              <w:rPr>
                <w:rFonts w:ascii="Avenir Next" w:hAnsi="Avenir Next"/>
                <w:sz w:val="20"/>
                <w:szCs w:val="18"/>
              </w:rPr>
            </w:pPr>
          </w:p>
        </w:tc>
        <w:tc>
          <w:tcPr>
            <w:tcW w:w="2185" w:type="pct"/>
            <w:shd w:val="clear" w:color="auto" w:fill="FFFFFF" w:themeFill="background1"/>
          </w:tcPr>
          <w:p w14:paraId="7B0583BA" w14:textId="77777777" w:rsidR="0043717F" w:rsidRPr="0043717F" w:rsidRDefault="0043717F" w:rsidP="00CE0AF6">
            <w:pPr>
              <w:rPr>
                <w:rFonts w:ascii="Avenir Next" w:hAnsi="Avenir Next"/>
                <w:sz w:val="20"/>
                <w:szCs w:val="18"/>
              </w:rPr>
            </w:pPr>
          </w:p>
        </w:tc>
        <w:tc>
          <w:tcPr>
            <w:tcW w:w="2054" w:type="pct"/>
            <w:shd w:val="clear" w:color="auto" w:fill="FFFFFF" w:themeFill="background1"/>
          </w:tcPr>
          <w:p w14:paraId="1D9B6BB0" w14:textId="77777777" w:rsidR="0043717F" w:rsidRPr="0043717F" w:rsidRDefault="0043717F" w:rsidP="00CE0AF6">
            <w:pPr>
              <w:rPr>
                <w:rFonts w:ascii="Avenir Next" w:hAnsi="Avenir Next"/>
                <w:sz w:val="20"/>
                <w:szCs w:val="18"/>
              </w:rPr>
            </w:pPr>
          </w:p>
        </w:tc>
      </w:tr>
      <w:tr w:rsidR="0043717F" w:rsidRPr="004427E7" w14:paraId="7DC7ADA0" w14:textId="77777777" w:rsidTr="0043717F">
        <w:tc>
          <w:tcPr>
            <w:tcW w:w="761" w:type="pct"/>
            <w:shd w:val="clear" w:color="auto" w:fill="BDCEC9"/>
          </w:tcPr>
          <w:p w14:paraId="169CA464" w14:textId="77777777" w:rsidR="0043717F" w:rsidRPr="0043717F" w:rsidRDefault="0043717F" w:rsidP="00CE0AF6">
            <w:pPr>
              <w:rPr>
                <w:rFonts w:ascii="Avenir Next" w:hAnsi="Avenir Next"/>
                <w:sz w:val="20"/>
                <w:szCs w:val="18"/>
              </w:rPr>
            </w:pPr>
            <w:r w:rsidRPr="0043717F">
              <w:rPr>
                <w:rFonts w:ascii="Avenir Next" w:hAnsi="Avenir Next"/>
                <w:sz w:val="20"/>
                <w:szCs w:val="18"/>
              </w:rPr>
              <w:t>Completeness</w:t>
            </w:r>
          </w:p>
        </w:tc>
        <w:tc>
          <w:tcPr>
            <w:tcW w:w="2185" w:type="pct"/>
            <w:shd w:val="clear" w:color="auto" w:fill="FFFFFF" w:themeFill="background1"/>
          </w:tcPr>
          <w:p w14:paraId="125B495A" w14:textId="77777777" w:rsidR="0043717F" w:rsidRPr="0043717F" w:rsidRDefault="0043717F" w:rsidP="00CE0AF6">
            <w:pPr>
              <w:rPr>
                <w:rFonts w:ascii="Avenir Next" w:hAnsi="Avenir Next"/>
                <w:sz w:val="20"/>
                <w:szCs w:val="18"/>
              </w:rPr>
            </w:pPr>
          </w:p>
        </w:tc>
        <w:tc>
          <w:tcPr>
            <w:tcW w:w="2054" w:type="pct"/>
            <w:shd w:val="clear" w:color="auto" w:fill="FFFFFF" w:themeFill="background1"/>
          </w:tcPr>
          <w:p w14:paraId="5319BDF0" w14:textId="77777777" w:rsidR="0043717F" w:rsidRPr="0043717F" w:rsidRDefault="0043717F" w:rsidP="00CE0AF6">
            <w:pPr>
              <w:rPr>
                <w:rFonts w:ascii="Avenir Next" w:hAnsi="Avenir Next"/>
                <w:sz w:val="20"/>
                <w:szCs w:val="18"/>
              </w:rPr>
            </w:pPr>
          </w:p>
          <w:p w14:paraId="1D987B87" w14:textId="77777777" w:rsidR="0043717F" w:rsidRPr="0043717F" w:rsidRDefault="0043717F" w:rsidP="00CE0AF6">
            <w:pPr>
              <w:rPr>
                <w:rFonts w:ascii="Avenir Next" w:hAnsi="Avenir Next"/>
                <w:sz w:val="20"/>
                <w:szCs w:val="18"/>
              </w:rPr>
            </w:pPr>
          </w:p>
        </w:tc>
      </w:tr>
      <w:tr w:rsidR="0043717F" w:rsidRPr="004427E7" w14:paraId="7BB1601C" w14:textId="77777777" w:rsidTr="0043717F">
        <w:tc>
          <w:tcPr>
            <w:tcW w:w="761" w:type="pct"/>
            <w:shd w:val="clear" w:color="auto" w:fill="BDCEC9"/>
          </w:tcPr>
          <w:p w14:paraId="705CCD2E" w14:textId="77777777" w:rsidR="0043717F" w:rsidRPr="0043717F" w:rsidRDefault="0043717F" w:rsidP="00CE0AF6">
            <w:pPr>
              <w:rPr>
                <w:rFonts w:ascii="Avenir Next" w:hAnsi="Avenir Next"/>
                <w:sz w:val="20"/>
                <w:szCs w:val="18"/>
              </w:rPr>
            </w:pPr>
            <w:r w:rsidRPr="0043717F">
              <w:rPr>
                <w:rFonts w:ascii="Avenir Next" w:hAnsi="Avenir Next"/>
                <w:sz w:val="20"/>
                <w:szCs w:val="18"/>
              </w:rPr>
              <w:t xml:space="preserve">General </w:t>
            </w:r>
          </w:p>
        </w:tc>
        <w:tc>
          <w:tcPr>
            <w:tcW w:w="2185" w:type="pct"/>
            <w:shd w:val="clear" w:color="auto" w:fill="FFFFFF" w:themeFill="background1"/>
          </w:tcPr>
          <w:p w14:paraId="333859DE" w14:textId="77777777" w:rsidR="0043717F" w:rsidRPr="0043717F" w:rsidRDefault="0043717F" w:rsidP="00CE0AF6">
            <w:pPr>
              <w:rPr>
                <w:rFonts w:ascii="Avenir Next" w:hAnsi="Avenir Next"/>
                <w:sz w:val="20"/>
                <w:szCs w:val="18"/>
              </w:rPr>
            </w:pPr>
          </w:p>
        </w:tc>
        <w:tc>
          <w:tcPr>
            <w:tcW w:w="2054" w:type="pct"/>
            <w:shd w:val="clear" w:color="auto" w:fill="FFFFFF" w:themeFill="background1"/>
          </w:tcPr>
          <w:p w14:paraId="13DC72BE" w14:textId="77777777" w:rsidR="0043717F" w:rsidRPr="0043717F" w:rsidRDefault="0043717F" w:rsidP="00CE0AF6">
            <w:pPr>
              <w:rPr>
                <w:rFonts w:ascii="Avenir Next" w:hAnsi="Avenir Next"/>
                <w:sz w:val="20"/>
                <w:szCs w:val="18"/>
              </w:rPr>
            </w:pPr>
          </w:p>
          <w:p w14:paraId="0B2A9561" w14:textId="77777777" w:rsidR="0043717F" w:rsidRPr="0043717F" w:rsidRDefault="0043717F" w:rsidP="00CE0AF6">
            <w:pPr>
              <w:rPr>
                <w:rFonts w:ascii="Avenir Next" w:hAnsi="Avenir Next"/>
                <w:sz w:val="20"/>
                <w:szCs w:val="18"/>
              </w:rPr>
            </w:pPr>
          </w:p>
        </w:tc>
      </w:tr>
    </w:tbl>
    <w:p w14:paraId="472BADCE" w14:textId="632D865E" w:rsidR="00ED7BA2" w:rsidRDefault="00000000">
      <w:pPr>
        <w:spacing w:before="120" w:after="120" w:line="336" w:lineRule="auto"/>
      </w:pPr>
      <w:r>
        <w:rPr>
          <w:rFonts w:ascii="Canva Sans Bold" w:eastAsia="Canva Sans Bold" w:hAnsi="Canva Sans Bold" w:cs="Canva Sans Bold"/>
          <w:b/>
          <w:bCs/>
          <w:color w:val="000000"/>
          <w:sz w:val="64"/>
          <w:szCs w:val="64"/>
        </w:rPr>
        <w:t xml:space="preserve"> </w:t>
      </w:r>
    </w:p>
    <w:sectPr w:rsidR="00ED7BA2" w:rsidSect="00A561A9">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023CC" w14:textId="77777777" w:rsidR="00A561A9" w:rsidRDefault="00A561A9" w:rsidP="00031D7C">
      <w:r>
        <w:separator/>
      </w:r>
    </w:p>
  </w:endnote>
  <w:endnote w:type="continuationSeparator" w:id="0">
    <w:p w14:paraId="3C18C6A2" w14:textId="77777777" w:rsidR="00A561A9" w:rsidRDefault="00A561A9" w:rsidP="00031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D9023BF6-03D9-3741-B899-E982256D3004}"/>
  </w:font>
  <w:font w:name="Times New Roman">
    <w:panose1 w:val="02020603050405020304"/>
    <w:charset w:val="00"/>
    <w:family w:val="roman"/>
    <w:pitch w:val="variable"/>
    <w:sig w:usb0="E0002EFF" w:usb1="C000785B" w:usb2="00000009" w:usb3="00000000" w:csb0="000001FF" w:csb1="00000000"/>
    <w:embedRegular r:id="rId2" w:fontKey="{7A0BF3E5-EBE0-AF4E-AE62-88B95B6EA94F}"/>
    <w:embedBold r:id="rId3" w:fontKey="{1E3279E6-ADAA-6843-8B13-05465DB15B24}"/>
  </w:font>
  <w:font w:name="Courier New">
    <w:panose1 w:val="02070309020205020404"/>
    <w:charset w:val="00"/>
    <w:family w:val="modern"/>
    <w:pitch w:val="fixed"/>
    <w:sig w:usb0="E0002AFF" w:usb1="C0007843" w:usb2="00000009" w:usb3="00000000" w:csb0="000001FF" w:csb1="00000000"/>
    <w:embedRegular r:id="rId4" w:fontKey="{1BD071D1-8EF8-8348-B982-1E752E98A930}"/>
  </w:font>
  <w:font w:name="Wingdings">
    <w:panose1 w:val="05000000000000000000"/>
    <w:charset w:val="4D"/>
    <w:family w:val="decorative"/>
    <w:pitch w:val="variable"/>
    <w:sig w:usb0="00000003" w:usb1="00000000" w:usb2="00000000" w:usb3="00000000" w:csb0="80000001" w:csb1="00000000"/>
    <w:embedRegular r:id="rId5" w:fontKey="{44E04A5C-8397-344A-AA36-AFE97276A447}"/>
  </w:font>
  <w:font w:name="Calibri">
    <w:panose1 w:val="020F0502020204030204"/>
    <w:charset w:val="00"/>
    <w:family w:val="swiss"/>
    <w:pitch w:val="variable"/>
    <w:sig w:usb0="E4002EFF" w:usb1="C200247B" w:usb2="00000009" w:usb3="00000000" w:csb0="000001FF" w:csb1="00000000"/>
    <w:embedRegular r:id="rId6" w:fontKey="{28F7DACD-F7E2-E94E-9914-26A13C085F94}"/>
    <w:embedBold r:id="rId7" w:fontKey="{2E34870C-C578-B34A-9F61-AF3141D0B872}"/>
    <w:embedItalic r:id="rId8" w:fontKey="{A02C1481-060A-AE40-A38F-136F81D5A3B5}"/>
    <w:embedBoldItalic r:id="rId9" w:fontKey="{2794B327-0F24-4D43-BF7F-51B9D83E0E75}"/>
  </w:font>
  <w:font w:name="Bodoni 72 Book">
    <w:altName w:val="BODONI 72 BOOK"/>
    <w:panose1 w:val="00000400000000000000"/>
    <w:charset w:val="00"/>
    <w:family w:val="auto"/>
    <w:pitch w:val="variable"/>
    <w:sig w:usb0="00000003" w:usb1="00000000" w:usb2="00000000" w:usb3="00000000" w:csb0="00000001" w:csb1="00000000"/>
    <w:embedRegular r:id="rId10" w:fontKey="{F11EE08B-0A2D-2C46-A76D-A3D16DECCDF8}"/>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2" w:fontKey="{7ECA923E-9019-7547-92FB-D64218FB99BA}"/>
    <w:embedBold r:id="rId13" w:fontKey="{EB7BD1F8-A2FB-2046-B134-B4EF07041D7C}"/>
  </w:font>
  <w:font w:name="Montserrat">
    <w:panose1 w:val="00000500000000000000"/>
    <w:charset w:val="4D"/>
    <w:family w:val="auto"/>
    <w:pitch w:val="variable"/>
    <w:sig w:usb0="2000020F" w:usb1="00000003" w:usb2="00000000" w:usb3="00000000" w:csb0="00000197" w:csb1="00000000"/>
    <w:embedRegular r:id="rId14" w:fontKey="{E9F1A192-647B-1245-AB93-ABE1331FE2D4}"/>
  </w:font>
  <w:font w:name="IBM Plex Sans">
    <w:panose1 w:val="020B0503050203000203"/>
    <w:charset w:val="00"/>
    <w:family w:val="swiss"/>
    <w:pitch w:val="variable"/>
    <w:sig w:usb0="A00002EF" w:usb1="5000207B" w:usb2="00000000" w:usb3="00000000" w:csb0="0000019F" w:csb1="00000000"/>
    <w:embedRegular r:id="rId15" w:fontKey="{D886DCA5-4D0D-114D-94EA-19A20BAF56E9}"/>
  </w:font>
  <w:font w:name="IBM Plex Sans Bold">
    <w:panose1 w:val="020B0604020202020204"/>
    <w:charset w:val="00"/>
    <w:family w:val="auto"/>
    <w:pitch w:val="default"/>
  </w:font>
  <w:font w:name="Avenir Next Ultra Light">
    <w:panose1 w:val="020B0203020202020204"/>
    <w:charset w:val="4D"/>
    <w:family w:val="swiss"/>
    <w:pitch w:val="variable"/>
    <w:sig w:usb0="800000AF" w:usb1="5000204A" w:usb2="00000000" w:usb3="00000000" w:csb0="0000009B" w:csb1="00000000"/>
    <w:embedRegular r:id="rId17" w:fontKey="{E5F2D8E8-2D2E-784F-9195-084E1F565CFB}"/>
  </w:font>
  <w:font w:name="Arial">
    <w:panose1 w:val="020B0604020202020204"/>
    <w:charset w:val="00"/>
    <w:family w:val="swiss"/>
    <w:pitch w:val="variable"/>
    <w:sig w:usb0="E0002AFF" w:usb1="C0007843" w:usb2="00000009" w:usb3="00000000" w:csb0="000001FF" w:csb1="00000000"/>
    <w:embedRegular r:id="rId18" w:fontKey="{41C4437D-C3C9-FB43-878F-01BBFD4FAFB6}"/>
  </w:font>
  <w:font w:name="Canva Sans Bold">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20" w:fontKey="{C40600E7-A381-6F44-BA47-65F4982854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80FAA" w14:textId="77777777" w:rsidR="00A561A9" w:rsidRDefault="00A561A9" w:rsidP="00031D7C">
      <w:r>
        <w:separator/>
      </w:r>
    </w:p>
  </w:footnote>
  <w:footnote w:type="continuationSeparator" w:id="0">
    <w:p w14:paraId="3E90438E" w14:textId="77777777" w:rsidR="00A561A9" w:rsidRDefault="00A561A9" w:rsidP="00031D7C">
      <w:r>
        <w:continuationSeparator/>
      </w:r>
    </w:p>
  </w:footnote>
  <w:footnote w:id="1">
    <w:p w14:paraId="64DC8DE0" w14:textId="5334AD20" w:rsidR="00031D7C" w:rsidRPr="00C878E5" w:rsidRDefault="00031D7C">
      <w:pPr>
        <w:pStyle w:val="FootnoteText"/>
        <w:rPr>
          <w:rFonts w:ascii="Avenir Next" w:hAnsi="Avenir Next"/>
          <w:sz w:val="14"/>
          <w:szCs w:val="14"/>
          <w:lang w:val="en-GB"/>
        </w:rPr>
      </w:pPr>
      <w:r w:rsidRPr="00C878E5">
        <w:rPr>
          <w:rStyle w:val="FootnoteReference"/>
          <w:rFonts w:ascii="Avenir Next" w:hAnsi="Avenir Next"/>
          <w:sz w:val="14"/>
          <w:szCs w:val="14"/>
        </w:rPr>
        <w:footnoteRef/>
      </w:r>
      <w:r w:rsidRPr="00C878E5">
        <w:rPr>
          <w:rFonts w:ascii="Avenir Next" w:hAnsi="Avenir Next"/>
          <w:sz w:val="14"/>
          <w:szCs w:val="14"/>
        </w:rPr>
        <w:t xml:space="preserve"> The other two being: 1) ensuring consistency of the REDD+ PAMs with the Cancun safeguards throughout the implementation of REDD+, and 2) the provision of a summary of information demonstrating how the safeguards have been addressed and respected to the UNFCCC.</w:t>
      </w:r>
    </w:p>
  </w:footnote>
  <w:footnote w:id="2">
    <w:p w14:paraId="73870D9B" w14:textId="2881A623" w:rsidR="00031D7C" w:rsidRPr="00C878E5" w:rsidRDefault="00031D7C">
      <w:pPr>
        <w:pStyle w:val="FootnoteText"/>
        <w:contextualSpacing/>
        <w:rPr>
          <w:rFonts w:ascii="Avenir Next" w:hAnsi="Avenir Next"/>
          <w:sz w:val="14"/>
          <w:szCs w:val="14"/>
        </w:rPr>
      </w:pPr>
      <w:r w:rsidRPr="00C878E5">
        <w:rPr>
          <w:rStyle w:val="FootnoteReference"/>
          <w:rFonts w:ascii="Avenir Next" w:hAnsi="Avenir Next"/>
          <w:sz w:val="14"/>
          <w:szCs w:val="14"/>
        </w:rPr>
        <w:footnoteRef/>
      </w:r>
      <w:r w:rsidRPr="00C878E5">
        <w:rPr>
          <w:rFonts w:ascii="Avenir Next" w:hAnsi="Avenir Next"/>
          <w:sz w:val="14"/>
          <w:szCs w:val="14"/>
        </w:rPr>
        <w:t xml:space="preserve"> Decision 2/CP. 17, paragraph 64</w:t>
      </w:r>
    </w:p>
  </w:footnote>
  <w:footnote w:id="3">
    <w:p w14:paraId="4BC10348" w14:textId="7B0B83F1" w:rsidR="00031D7C" w:rsidRPr="00C878E5" w:rsidRDefault="00031D7C">
      <w:pPr>
        <w:pStyle w:val="FootnoteText"/>
        <w:rPr>
          <w:rFonts w:ascii="Avenir Next" w:hAnsi="Avenir Next"/>
          <w:sz w:val="15"/>
          <w:szCs w:val="15"/>
          <w:lang w:val="en-GB"/>
        </w:rPr>
      </w:pPr>
      <w:r w:rsidRPr="00C878E5">
        <w:rPr>
          <w:rStyle w:val="FootnoteReference"/>
          <w:rFonts w:ascii="Avenir Next" w:hAnsi="Avenir Next"/>
          <w:sz w:val="14"/>
          <w:szCs w:val="14"/>
        </w:rPr>
        <w:footnoteRef/>
      </w:r>
      <w:r w:rsidRPr="00C878E5">
        <w:rPr>
          <w:rFonts w:ascii="Avenir Next" w:hAnsi="Avenir Next"/>
          <w:sz w:val="14"/>
          <w:szCs w:val="14"/>
        </w:rPr>
        <w:t xml:space="preserve"> UNFCCC Decision 12/CP.17 paragraph 2</w:t>
      </w:r>
    </w:p>
  </w:footnote>
  <w:footnote w:id="4">
    <w:p w14:paraId="03DC0CC3" w14:textId="27E50C4B" w:rsidR="00031D7C" w:rsidRPr="00C878E5" w:rsidRDefault="00031D7C">
      <w:pPr>
        <w:pStyle w:val="FootnoteText"/>
        <w:rPr>
          <w:rFonts w:ascii="Avenir Next" w:hAnsi="Avenir Next"/>
          <w:sz w:val="14"/>
          <w:szCs w:val="14"/>
          <w:lang w:val="en-GB"/>
        </w:rPr>
      </w:pPr>
      <w:r w:rsidRPr="00C878E5">
        <w:rPr>
          <w:rStyle w:val="FootnoteReference"/>
          <w:rFonts w:ascii="Avenir Next" w:hAnsi="Avenir Next"/>
          <w:sz w:val="14"/>
          <w:szCs w:val="14"/>
        </w:rPr>
        <w:footnoteRef/>
      </w:r>
      <w:r w:rsidRPr="00C878E5">
        <w:rPr>
          <w:rFonts w:ascii="Avenir Next" w:hAnsi="Avenir Next"/>
          <w:sz w:val="14"/>
          <w:szCs w:val="14"/>
        </w:rPr>
        <w:t xml:space="preserve"> UN REDD </w:t>
      </w:r>
      <w:proofErr w:type="spellStart"/>
      <w:r w:rsidRPr="00C878E5">
        <w:rPr>
          <w:rFonts w:ascii="Avenir Next" w:hAnsi="Avenir Next"/>
          <w:sz w:val="14"/>
          <w:szCs w:val="14"/>
        </w:rPr>
        <w:t>Programme</w:t>
      </w:r>
      <w:proofErr w:type="spellEnd"/>
      <w:r w:rsidRPr="00C878E5">
        <w:rPr>
          <w:rFonts w:ascii="Avenir Next" w:hAnsi="Avenir Next"/>
          <w:sz w:val="14"/>
          <w:szCs w:val="14"/>
        </w:rPr>
        <w:t xml:space="preserve"> (2016) REDD+ Safeguard Information Systems: Practical Design Considerations. Technical Resource Series. Safeguards Edition 1</w:t>
      </w:r>
    </w:p>
  </w:footnote>
  <w:footnote w:id="5">
    <w:p w14:paraId="0541EA01" w14:textId="77777777" w:rsidR="00C878E5" w:rsidRPr="00C878E5" w:rsidRDefault="00C878E5" w:rsidP="00C878E5">
      <w:pPr>
        <w:pStyle w:val="FootnoteText"/>
        <w:rPr>
          <w:rFonts w:ascii="Avenir Next" w:hAnsi="Avenir Next"/>
          <w:sz w:val="14"/>
          <w:szCs w:val="14"/>
        </w:rPr>
      </w:pPr>
      <w:r w:rsidRPr="00C878E5">
        <w:rPr>
          <w:rStyle w:val="FootnoteReference"/>
          <w:rFonts w:ascii="Avenir Next" w:hAnsi="Avenir Next"/>
          <w:sz w:val="14"/>
          <w:szCs w:val="14"/>
        </w:rPr>
        <w:footnoteRef/>
      </w:r>
      <w:r w:rsidRPr="00C878E5">
        <w:rPr>
          <w:rFonts w:ascii="Avenir Next" w:hAnsi="Avenir Next"/>
          <w:sz w:val="14"/>
          <w:szCs w:val="14"/>
        </w:rPr>
        <w:t xml:space="preserve"> UNFCCC, Decision 12/CP.17, preamble and paragraph 2 (letter ‘e’ and ‘f’)</w:t>
      </w:r>
    </w:p>
  </w:footnote>
  <w:footnote w:id="6">
    <w:p w14:paraId="4CBAED86" w14:textId="77777777" w:rsidR="00C878E5" w:rsidRPr="00C878E5" w:rsidRDefault="00C878E5" w:rsidP="00C878E5">
      <w:pPr>
        <w:pStyle w:val="FootnoteText"/>
        <w:ind w:left="142" w:hanging="142"/>
        <w:contextualSpacing/>
        <w:jc w:val="both"/>
        <w:rPr>
          <w:rFonts w:ascii="Avenir Next" w:hAnsi="Avenir Next"/>
          <w:sz w:val="14"/>
          <w:szCs w:val="14"/>
        </w:rPr>
      </w:pPr>
      <w:r w:rsidRPr="00C878E5">
        <w:rPr>
          <w:rStyle w:val="FootnoteReference"/>
          <w:rFonts w:ascii="Avenir Next" w:hAnsi="Avenir Next"/>
          <w:sz w:val="14"/>
          <w:szCs w:val="14"/>
        </w:rPr>
        <w:footnoteRef/>
      </w:r>
      <w:r w:rsidRPr="00C878E5">
        <w:rPr>
          <w:rFonts w:ascii="Avenir Next" w:hAnsi="Avenir Next"/>
          <w:sz w:val="14"/>
          <w:szCs w:val="14"/>
        </w:rPr>
        <w:t xml:space="preserve">UN REDD </w:t>
      </w:r>
      <w:proofErr w:type="spellStart"/>
      <w:r w:rsidRPr="00C878E5">
        <w:rPr>
          <w:rFonts w:ascii="Avenir Next" w:hAnsi="Avenir Next"/>
          <w:sz w:val="14"/>
          <w:szCs w:val="14"/>
        </w:rPr>
        <w:t>Programme</w:t>
      </w:r>
      <w:proofErr w:type="spellEnd"/>
      <w:r w:rsidRPr="00C878E5">
        <w:rPr>
          <w:rFonts w:ascii="Avenir Next" w:hAnsi="Avenir Next"/>
          <w:sz w:val="14"/>
          <w:szCs w:val="14"/>
        </w:rPr>
        <w:t xml:space="preserve"> (2016) REDD+ Safeguard Information Systems: Practical Design Considerations. Technical Resource Series. Safeguards Edition 1</w:t>
      </w:r>
    </w:p>
  </w:footnote>
  <w:footnote w:id="7">
    <w:p w14:paraId="3A36FA42" w14:textId="77777777" w:rsidR="00C878E5" w:rsidRPr="00C878E5" w:rsidRDefault="00C878E5" w:rsidP="00C878E5">
      <w:pPr>
        <w:pStyle w:val="FootnoteText"/>
        <w:rPr>
          <w:rFonts w:ascii="Avenir Next" w:hAnsi="Avenir Next"/>
          <w:sz w:val="14"/>
          <w:szCs w:val="14"/>
        </w:rPr>
      </w:pPr>
      <w:r w:rsidRPr="00C878E5">
        <w:rPr>
          <w:rStyle w:val="FootnoteReference"/>
          <w:rFonts w:ascii="Avenir Next" w:hAnsi="Avenir Next"/>
          <w:sz w:val="14"/>
          <w:szCs w:val="14"/>
        </w:rPr>
        <w:footnoteRef/>
      </w:r>
      <w:r w:rsidRPr="00C878E5">
        <w:rPr>
          <w:rFonts w:ascii="Avenir Next" w:hAnsi="Avenir Next"/>
          <w:sz w:val="14"/>
          <w:szCs w:val="14"/>
        </w:rPr>
        <w:t xml:space="preserve"> UNFCCC, Decision 12/CP.17, paragraph 2 (letter ‘b’)</w:t>
      </w:r>
    </w:p>
  </w:footnote>
  <w:footnote w:id="8">
    <w:p w14:paraId="6A2B81E0" w14:textId="77777777" w:rsidR="00C878E5" w:rsidRDefault="00C878E5" w:rsidP="00C878E5">
      <w:pPr>
        <w:pStyle w:val="FootnoteText"/>
      </w:pPr>
      <w:r w:rsidRPr="00C878E5">
        <w:rPr>
          <w:rStyle w:val="FootnoteReference"/>
          <w:rFonts w:ascii="Avenir Next" w:hAnsi="Avenir Next"/>
          <w:sz w:val="14"/>
          <w:szCs w:val="14"/>
        </w:rPr>
        <w:footnoteRef/>
      </w:r>
      <w:r w:rsidRPr="00C878E5">
        <w:rPr>
          <w:rFonts w:ascii="Avenir Next" w:hAnsi="Avenir Next"/>
          <w:sz w:val="14"/>
          <w:szCs w:val="14"/>
        </w:rPr>
        <w:t xml:space="preserve"> Note: timely/regular is understood to be of annual frequency in connection to the frequency of reporting to relevant standards.</w:t>
      </w:r>
    </w:p>
  </w:footnote>
  <w:footnote w:id="9">
    <w:p w14:paraId="22226EA8" w14:textId="77777777" w:rsidR="00C878E5" w:rsidRPr="00C878E5" w:rsidRDefault="00C878E5" w:rsidP="00C878E5">
      <w:pPr>
        <w:pStyle w:val="FootnoteText"/>
        <w:rPr>
          <w:rFonts w:ascii="Avenir Next" w:hAnsi="Avenir Next"/>
          <w:sz w:val="14"/>
          <w:szCs w:val="14"/>
        </w:rPr>
      </w:pPr>
      <w:r w:rsidRPr="00C878E5">
        <w:rPr>
          <w:rStyle w:val="FootnoteReference"/>
          <w:rFonts w:ascii="Avenir Next" w:hAnsi="Avenir Next"/>
          <w:sz w:val="14"/>
          <w:szCs w:val="14"/>
        </w:rPr>
        <w:footnoteRef/>
      </w:r>
      <w:r w:rsidRPr="00C878E5">
        <w:rPr>
          <w:rFonts w:ascii="Avenir Next" w:hAnsi="Avenir Next"/>
          <w:sz w:val="14"/>
          <w:szCs w:val="14"/>
        </w:rPr>
        <w:t xml:space="preserve"> UNFCCC, Decision 12/CP.17, paragraph 2 (letter ‘b’)</w:t>
      </w:r>
    </w:p>
  </w:footnote>
  <w:footnote w:id="10">
    <w:p w14:paraId="1DFBD54F" w14:textId="77777777" w:rsidR="00C878E5" w:rsidRPr="00C878E5" w:rsidRDefault="00C878E5" w:rsidP="00C878E5">
      <w:pPr>
        <w:pStyle w:val="FootnoteText"/>
        <w:rPr>
          <w:rFonts w:ascii="Avenir Next" w:hAnsi="Avenir Next"/>
          <w:sz w:val="14"/>
          <w:szCs w:val="14"/>
        </w:rPr>
      </w:pPr>
      <w:r w:rsidRPr="00C878E5">
        <w:rPr>
          <w:rStyle w:val="FootnoteReference"/>
          <w:rFonts w:ascii="Avenir Next" w:hAnsi="Avenir Next"/>
          <w:sz w:val="14"/>
          <w:szCs w:val="14"/>
        </w:rPr>
        <w:footnoteRef/>
      </w:r>
      <w:r w:rsidRPr="00C878E5">
        <w:rPr>
          <w:rFonts w:ascii="Avenir Next" w:hAnsi="Avenir Next"/>
          <w:sz w:val="14"/>
          <w:szCs w:val="14"/>
        </w:rPr>
        <w:t xml:space="preserve"> The information is expected to be disclosed in relevant local languages and in a manner that is accessible and culturally appropriate, </w:t>
      </w:r>
      <w:proofErr w:type="gramStart"/>
      <w:r w:rsidRPr="00C878E5">
        <w:rPr>
          <w:rFonts w:ascii="Avenir Next" w:hAnsi="Avenir Next"/>
          <w:sz w:val="14"/>
          <w:szCs w:val="14"/>
        </w:rPr>
        <w:t>taking into account</w:t>
      </w:r>
      <w:proofErr w:type="gramEnd"/>
      <w:r w:rsidRPr="00C878E5">
        <w:rPr>
          <w:rFonts w:ascii="Avenir Next" w:hAnsi="Avenir Next"/>
          <w:sz w:val="14"/>
          <w:szCs w:val="14"/>
        </w:rPr>
        <w:t xml:space="preserve"> any specific needs of groups that may be differentially or disproportionately affected by the REDD+ program, or groups of the population with specific information needs (such as, disability, literacy, gender, mobility, differences in language or accessibility).</w:t>
      </w:r>
    </w:p>
  </w:footnote>
  <w:footnote w:id="11">
    <w:p w14:paraId="61330CF7" w14:textId="77777777" w:rsidR="00C878E5" w:rsidRPr="00C878E5" w:rsidRDefault="00C878E5" w:rsidP="00C878E5">
      <w:pPr>
        <w:pStyle w:val="FootnoteText"/>
        <w:rPr>
          <w:rFonts w:ascii="Avenir Next" w:hAnsi="Avenir Next"/>
          <w:sz w:val="14"/>
          <w:szCs w:val="14"/>
        </w:rPr>
      </w:pPr>
      <w:r w:rsidRPr="00C878E5">
        <w:rPr>
          <w:rStyle w:val="FootnoteReference"/>
          <w:rFonts w:ascii="Avenir Next" w:hAnsi="Avenir Next"/>
          <w:sz w:val="14"/>
          <w:szCs w:val="14"/>
        </w:rPr>
        <w:footnoteRef/>
      </w:r>
      <w:r w:rsidRPr="00C878E5">
        <w:rPr>
          <w:rFonts w:ascii="Avenir Next" w:hAnsi="Avenir Next"/>
          <w:sz w:val="14"/>
          <w:szCs w:val="14"/>
        </w:rPr>
        <w:t xml:space="preserve"> Maximum disclosure is interpreted as meaning that “all information held by public bodies is accessible, subject to a clear and narrow regime of exceptions set out in law that are legitimate and strictly necessary in a democratic society based on the standards and jurisprudence of the Inter-American system.”, Model Inter-American Law on Access to Information Article 2.</w:t>
      </w:r>
    </w:p>
  </w:footnote>
  <w:footnote w:id="12">
    <w:p w14:paraId="7E8554B1" w14:textId="77777777" w:rsidR="00C878E5" w:rsidRPr="00C97C8B" w:rsidRDefault="00C878E5" w:rsidP="00C878E5">
      <w:pPr>
        <w:pStyle w:val="FootnoteText"/>
        <w:rPr>
          <w:sz w:val="16"/>
          <w:szCs w:val="16"/>
        </w:rPr>
      </w:pPr>
      <w:r w:rsidRPr="00C878E5">
        <w:rPr>
          <w:rStyle w:val="FootnoteReference"/>
          <w:rFonts w:ascii="Avenir Next" w:hAnsi="Avenir Next"/>
          <w:sz w:val="14"/>
          <w:szCs w:val="14"/>
        </w:rPr>
        <w:footnoteRef/>
      </w:r>
      <w:r w:rsidRPr="00C878E5">
        <w:rPr>
          <w:rFonts w:ascii="Avenir Next" w:hAnsi="Avenir Next"/>
          <w:sz w:val="14"/>
          <w:szCs w:val="14"/>
        </w:rPr>
        <w:t xml:space="preserve"> UNFCCC, Decision 12/CP.17, paragraph 1 and 2 (letter ‘c’). Note that such a stepwise approach with periodic dissemination of information will create a narrative that provides the “positive direction of travel” in safeguards implementation.</w:t>
      </w:r>
    </w:p>
  </w:footnote>
  <w:footnote w:id="13">
    <w:p w14:paraId="5C0EF8E5" w14:textId="77777777" w:rsidR="00C878E5" w:rsidRPr="00C878E5" w:rsidRDefault="00C878E5" w:rsidP="00C878E5">
      <w:pPr>
        <w:pStyle w:val="FootnoteText"/>
        <w:rPr>
          <w:rFonts w:ascii="Avenir Next" w:hAnsi="Avenir Next"/>
          <w:sz w:val="14"/>
          <w:szCs w:val="14"/>
        </w:rPr>
      </w:pPr>
      <w:r w:rsidRPr="00C878E5">
        <w:rPr>
          <w:rStyle w:val="FootnoteReference"/>
          <w:rFonts w:ascii="Avenir Next" w:hAnsi="Avenir Next"/>
          <w:sz w:val="14"/>
          <w:szCs w:val="14"/>
        </w:rPr>
        <w:footnoteRef/>
      </w:r>
      <w:r w:rsidRPr="00C878E5">
        <w:rPr>
          <w:rFonts w:ascii="Avenir Next" w:hAnsi="Avenir Next"/>
          <w:sz w:val="14"/>
          <w:szCs w:val="14"/>
        </w:rPr>
        <w:t xml:space="preserve"> Note: some REDD+ actions are not currently under design/implementation, but their design/implementation is planned for next years, hence the next reporting periods.</w:t>
      </w:r>
    </w:p>
  </w:footnote>
  <w:footnote w:id="14">
    <w:p w14:paraId="456F46ED" w14:textId="77777777" w:rsidR="00C878E5" w:rsidRPr="00C878E5" w:rsidRDefault="00C878E5" w:rsidP="00C878E5">
      <w:pPr>
        <w:pStyle w:val="FootnoteText"/>
        <w:rPr>
          <w:rFonts w:ascii="Avenir Next" w:hAnsi="Avenir Next"/>
          <w:sz w:val="14"/>
          <w:szCs w:val="14"/>
        </w:rPr>
      </w:pPr>
      <w:r w:rsidRPr="00C878E5">
        <w:rPr>
          <w:rStyle w:val="FootnoteReference"/>
          <w:rFonts w:ascii="Avenir Next" w:hAnsi="Avenir Next"/>
          <w:sz w:val="14"/>
          <w:szCs w:val="14"/>
        </w:rPr>
        <w:footnoteRef/>
      </w:r>
      <w:r w:rsidRPr="00C878E5">
        <w:rPr>
          <w:rFonts w:ascii="Avenir Next" w:hAnsi="Avenir Next"/>
          <w:sz w:val="14"/>
          <w:szCs w:val="14"/>
        </w:rPr>
        <w:t xml:space="preserve"> Note: functions of the SIS may consider a multi-stakeholder process that allows for an assessment of the information and the overall SIS’s process. SIS’s reports may also consider a section dedicated to noting improvements for the next reporting periods.</w:t>
      </w:r>
    </w:p>
  </w:footnote>
  <w:footnote w:id="15">
    <w:p w14:paraId="5900D4DA" w14:textId="77777777" w:rsidR="00C878E5" w:rsidRPr="00C97C8B" w:rsidRDefault="00C878E5" w:rsidP="00C878E5">
      <w:pPr>
        <w:pStyle w:val="FootnoteText"/>
      </w:pPr>
      <w:r w:rsidRPr="00C878E5">
        <w:rPr>
          <w:rStyle w:val="FootnoteReference"/>
          <w:rFonts w:ascii="Avenir Next" w:hAnsi="Avenir Next"/>
          <w:sz w:val="14"/>
          <w:szCs w:val="14"/>
        </w:rPr>
        <w:footnoteRef/>
      </w:r>
      <w:r w:rsidRPr="00C878E5">
        <w:rPr>
          <w:rFonts w:ascii="Avenir Next" w:hAnsi="Avenir Next"/>
          <w:sz w:val="14"/>
          <w:szCs w:val="14"/>
        </w:rPr>
        <w:t xml:space="preserve"> UNFCCC, Decision 12/CP.17, paragraph 1 and 2 (letter ‘d’)</w:t>
      </w:r>
    </w:p>
  </w:footnote>
  <w:footnote w:id="16">
    <w:p w14:paraId="0FF29879" w14:textId="77777777" w:rsidR="00C878E5" w:rsidRPr="00C878E5" w:rsidRDefault="00C878E5" w:rsidP="00C878E5">
      <w:pPr>
        <w:rPr>
          <w:rFonts w:ascii="Avenir Next" w:hAnsi="Avenir Next"/>
          <w:sz w:val="14"/>
          <w:szCs w:val="14"/>
        </w:rPr>
      </w:pPr>
      <w:r w:rsidRPr="00C878E5">
        <w:rPr>
          <w:rStyle w:val="FootnoteReference"/>
          <w:rFonts w:ascii="Avenir Next" w:hAnsi="Avenir Next"/>
          <w:sz w:val="14"/>
          <w:szCs w:val="14"/>
        </w:rPr>
        <w:footnoteRef/>
      </w:r>
      <w:r w:rsidRPr="00C878E5">
        <w:rPr>
          <w:rFonts w:ascii="Avenir Next" w:hAnsi="Avenir Next"/>
          <w:sz w:val="14"/>
          <w:szCs w:val="14"/>
        </w:rPr>
        <w:t xml:space="preserve"> Note: a comparison of how the SIS indicators </w:t>
      </w:r>
      <w:proofErr w:type="gramStart"/>
      <w:r w:rsidRPr="00C878E5">
        <w:rPr>
          <w:rFonts w:ascii="Avenir Next" w:hAnsi="Avenir Next"/>
          <w:sz w:val="14"/>
          <w:szCs w:val="14"/>
        </w:rPr>
        <w:t>are</w:t>
      </w:r>
      <w:proofErr w:type="gramEnd"/>
      <w:r w:rsidRPr="00C878E5">
        <w:rPr>
          <w:rFonts w:ascii="Avenir Next" w:hAnsi="Avenir Next"/>
          <w:sz w:val="14"/>
          <w:szCs w:val="14"/>
        </w:rPr>
        <w:t xml:space="preserve"> conformant with TREES indicators can be used to demonstrate this. </w:t>
      </w:r>
    </w:p>
    <w:p w14:paraId="68D0154C" w14:textId="77777777" w:rsidR="00C878E5" w:rsidRDefault="00C878E5" w:rsidP="00C878E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47335"/>
    <w:multiLevelType w:val="hybridMultilevel"/>
    <w:tmpl w:val="F1840796"/>
    <w:lvl w:ilvl="0" w:tplc="691CD7FA">
      <w:start w:val="1"/>
      <w:numFmt w:val="bullet"/>
      <w:lvlText w:val=""/>
      <w:lvlJc w:val="left"/>
      <w:pPr>
        <w:ind w:left="400" w:hanging="360"/>
      </w:pPr>
      <w:rPr>
        <w:rFonts w:ascii="Symbol" w:hAnsi="Symbol"/>
      </w:rPr>
    </w:lvl>
    <w:lvl w:ilvl="1" w:tplc="3D928330">
      <w:start w:val="1"/>
      <w:numFmt w:val="bullet"/>
      <w:lvlText w:val="o"/>
      <w:lvlJc w:val="left"/>
      <w:pPr>
        <w:ind w:left="800" w:hanging="360"/>
      </w:pPr>
      <w:rPr>
        <w:rFonts w:ascii="Courier New" w:hAnsi="Courier New"/>
      </w:rPr>
    </w:lvl>
    <w:lvl w:ilvl="2" w:tplc="65701400">
      <w:start w:val="1"/>
      <w:numFmt w:val="bullet"/>
      <w:lvlText w:val=""/>
      <w:lvlJc w:val="left"/>
      <w:pPr>
        <w:ind w:left="1200" w:hanging="360"/>
      </w:pPr>
      <w:rPr>
        <w:rFonts w:ascii="Wingdings" w:hAnsi="Wingdings"/>
      </w:rPr>
    </w:lvl>
    <w:lvl w:ilvl="3" w:tplc="98BA8D7E">
      <w:start w:val="1"/>
      <w:numFmt w:val="bullet"/>
      <w:lvlText w:val=""/>
      <w:lvlJc w:val="left"/>
      <w:pPr>
        <w:ind w:left="1600" w:hanging="360"/>
      </w:pPr>
      <w:rPr>
        <w:rFonts w:ascii="Symbol" w:hAnsi="Symbol"/>
      </w:rPr>
    </w:lvl>
    <w:lvl w:ilvl="4" w:tplc="A922FDFC">
      <w:start w:val="1"/>
      <w:numFmt w:val="bullet"/>
      <w:lvlText w:val="o"/>
      <w:lvlJc w:val="left"/>
      <w:pPr>
        <w:ind w:left="2000" w:hanging="360"/>
      </w:pPr>
      <w:rPr>
        <w:rFonts w:ascii="Courier New" w:hAnsi="Courier New"/>
      </w:rPr>
    </w:lvl>
    <w:lvl w:ilvl="5" w:tplc="7B782806">
      <w:start w:val="1"/>
      <w:numFmt w:val="bullet"/>
      <w:lvlText w:val=""/>
      <w:lvlJc w:val="left"/>
      <w:pPr>
        <w:ind w:left="2400" w:hanging="360"/>
      </w:pPr>
      <w:rPr>
        <w:rFonts w:ascii="Wingdings" w:hAnsi="Wingdings"/>
      </w:rPr>
    </w:lvl>
    <w:lvl w:ilvl="6" w:tplc="B2C4AE84">
      <w:start w:val="1"/>
      <w:numFmt w:val="bullet"/>
      <w:lvlText w:val=""/>
      <w:lvlJc w:val="left"/>
      <w:pPr>
        <w:ind w:left="2800" w:hanging="360"/>
      </w:pPr>
      <w:rPr>
        <w:rFonts w:ascii="Symbol" w:hAnsi="Symbol"/>
      </w:rPr>
    </w:lvl>
    <w:lvl w:ilvl="7" w:tplc="933CF54A">
      <w:start w:val="1"/>
      <w:numFmt w:val="bullet"/>
      <w:lvlText w:val="o"/>
      <w:lvlJc w:val="left"/>
      <w:pPr>
        <w:ind w:left="3200" w:hanging="360"/>
      </w:pPr>
      <w:rPr>
        <w:rFonts w:ascii="Courier New" w:hAnsi="Courier New"/>
      </w:rPr>
    </w:lvl>
    <w:lvl w:ilvl="8" w:tplc="CCD46356">
      <w:numFmt w:val="decimal"/>
      <w:lvlText w:val=""/>
      <w:lvlJc w:val="left"/>
    </w:lvl>
  </w:abstractNum>
  <w:abstractNum w:abstractNumId="1" w15:restartNumberingAfterBreak="0">
    <w:nsid w:val="0D5230E8"/>
    <w:multiLevelType w:val="hybridMultilevel"/>
    <w:tmpl w:val="DE0E79CC"/>
    <w:lvl w:ilvl="0" w:tplc="15B88CA4">
      <w:start w:val="1"/>
      <w:numFmt w:val="bullet"/>
      <w:lvlText w:val=""/>
      <w:lvlJc w:val="left"/>
      <w:pPr>
        <w:ind w:left="400" w:hanging="360"/>
      </w:pPr>
      <w:rPr>
        <w:rFonts w:ascii="Symbol" w:hAnsi="Symbol"/>
      </w:rPr>
    </w:lvl>
    <w:lvl w:ilvl="1" w:tplc="F4CCD0EC">
      <w:start w:val="1"/>
      <w:numFmt w:val="bullet"/>
      <w:lvlText w:val="o"/>
      <w:lvlJc w:val="left"/>
      <w:pPr>
        <w:ind w:left="800" w:hanging="360"/>
      </w:pPr>
      <w:rPr>
        <w:rFonts w:ascii="Courier New" w:hAnsi="Courier New"/>
      </w:rPr>
    </w:lvl>
    <w:lvl w:ilvl="2" w:tplc="6C289B3C">
      <w:start w:val="1"/>
      <w:numFmt w:val="bullet"/>
      <w:lvlText w:val=""/>
      <w:lvlJc w:val="left"/>
      <w:pPr>
        <w:ind w:left="1200" w:hanging="360"/>
      </w:pPr>
      <w:rPr>
        <w:rFonts w:ascii="Wingdings" w:hAnsi="Wingdings"/>
      </w:rPr>
    </w:lvl>
    <w:lvl w:ilvl="3" w:tplc="B2248448">
      <w:start w:val="1"/>
      <w:numFmt w:val="bullet"/>
      <w:lvlText w:val=""/>
      <w:lvlJc w:val="left"/>
      <w:pPr>
        <w:ind w:left="1600" w:hanging="360"/>
      </w:pPr>
      <w:rPr>
        <w:rFonts w:ascii="Symbol" w:hAnsi="Symbol"/>
      </w:rPr>
    </w:lvl>
    <w:lvl w:ilvl="4" w:tplc="5BCAEDCC">
      <w:start w:val="1"/>
      <w:numFmt w:val="bullet"/>
      <w:lvlText w:val="o"/>
      <w:lvlJc w:val="left"/>
      <w:pPr>
        <w:ind w:left="2000" w:hanging="360"/>
      </w:pPr>
      <w:rPr>
        <w:rFonts w:ascii="Courier New" w:hAnsi="Courier New"/>
      </w:rPr>
    </w:lvl>
    <w:lvl w:ilvl="5" w:tplc="536CCAF0">
      <w:start w:val="1"/>
      <w:numFmt w:val="bullet"/>
      <w:lvlText w:val=""/>
      <w:lvlJc w:val="left"/>
      <w:pPr>
        <w:ind w:left="2400" w:hanging="360"/>
      </w:pPr>
      <w:rPr>
        <w:rFonts w:ascii="Wingdings" w:hAnsi="Wingdings"/>
      </w:rPr>
    </w:lvl>
    <w:lvl w:ilvl="6" w:tplc="0C488E2A">
      <w:start w:val="1"/>
      <w:numFmt w:val="bullet"/>
      <w:lvlText w:val=""/>
      <w:lvlJc w:val="left"/>
      <w:pPr>
        <w:ind w:left="2800" w:hanging="360"/>
      </w:pPr>
      <w:rPr>
        <w:rFonts w:ascii="Symbol" w:hAnsi="Symbol"/>
      </w:rPr>
    </w:lvl>
    <w:lvl w:ilvl="7" w:tplc="70D059F6">
      <w:start w:val="1"/>
      <w:numFmt w:val="bullet"/>
      <w:lvlText w:val="o"/>
      <w:lvlJc w:val="left"/>
      <w:pPr>
        <w:ind w:left="3200" w:hanging="360"/>
      </w:pPr>
      <w:rPr>
        <w:rFonts w:ascii="Courier New" w:hAnsi="Courier New"/>
      </w:rPr>
    </w:lvl>
    <w:lvl w:ilvl="8" w:tplc="B2807526">
      <w:numFmt w:val="decimal"/>
      <w:lvlText w:val=""/>
      <w:lvlJc w:val="left"/>
    </w:lvl>
  </w:abstractNum>
  <w:abstractNum w:abstractNumId="2" w15:restartNumberingAfterBreak="0">
    <w:nsid w:val="163346DA"/>
    <w:multiLevelType w:val="hybridMultilevel"/>
    <w:tmpl w:val="CDFCD172"/>
    <w:lvl w:ilvl="0" w:tplc="FDB474C2">
      <w:start w:val="1"/>
      <w:numFmt w:val="lowerLetter"/>
      <w:lvlText w:val="%1."/>
      <w:lvlJc w:val="left"/>
      <w:pPr>
        <w:ind w:left="400" w:hanging="360"/>
      </w:pPr>
    </w:lvl>
    <w:lvl w:ilvl="1" w:tplc="FDB474C2">
      <w:start w:val="1"/>
      <w:numFmt w:val="lowerLetter"/>
      <w:lvlText w:val="%2."/>
      <w:lvlJc w:val="left"/>
      <w:pPr>
        <w:ind w:left="800" w:hanging="360"/>
      </w:pPr>
    </w:lvl>
    <w:lvl w:ilvl="2" w:tplc="947E08C6">
      <w:start w:val="1"/>
      <w:numFmt w:val="lowerRoman"/>
      <w:lvlText w:val="%3."/>
      <w:lvlJc w:val="right"/>
      <w:pPr>
        <w:ind w:left="1200" w:hanging="180"/>
      </w:pPr>
    </w:lvl>
    <w:lvl w:ilvl="3" w:tplc="EFD421EC">
      <w:start w:val="1"/>
      <w:numFmt w:val="decimal"/>
      <w:lvlText w:val="%4."/>
      <w:lvlJc w:val="left"/>
      <w:pPr>
        <w:ind w:left="1600" w:hanging="360"/>
      </w:pPr>
    </w:lvl>
    <w:lvl w:ilvl="4" w:tplc="E62827A6">
      <w:start w:val="1"/>
      <w:numFmt w:val="lowerLetter"/>
      <w:lvlText w:val="%5."/>
      <w:lvlJc w:val="left"/>
      <w:pPr>
        <w:ind w:left="2000" w:hanging="360"/>
      </w:pPr>
    </w:lvl>
    <w:lvl w:ilvl="5" w:tplc="543E6046">
      <w:start w:val="1"/>
      <w:numFmt w:val="lowerRoman"/>
      <w:lvlText w:val="%6."/>
      <w:lvlJc w:val="right"/>
      <w:pPr>
        <w:ind w:left="2400" w:hanging="180"/>
      </w:pPr>
    </w:lvl>
    <w:lvl w:ilvl="6" w:tplc="B43E3914">
      <w:start w:val="1"/>
      <w:numFmt w:val="decimal"/>
      <w:lvlText w:val="%7."/>
      <w:lvlJc w:val="left"/>
      <w:pPr>
        <w:ind w:left="2800" w:hanging="360"/>
      </w:pPr>
    </w:lvl>
    <w:lvl w:ilvl="7" w:tplc="34D40992">
      <w:start w:val="1"/>
      <w:numFmt w:val="lowerLetter"/>
      <w:lvlText w:val="%8."/>
      <w:lvlJc w:val="left"/>
      <w:pPr>
        <w:ind w:left="3200" w:hanging="360"/>
      </w:pPr>
    </w:lvl>
    <w:lvl w:ilvl="8" w:tplc="A4BEA68C">
      <w:numFmt w:val="decimal"/>
      <w:lvlText w:val=""/>
      <w:lvlJc w:val="left"/>
    </w:lvl>
  </w:abstractNum>
  <w:abstractNum w:abstractNumId="3" w15:restartNumberingAfterBreak="0">
    <w:nsid w:val="16881959"/>
    <w:multiLevelType w:val="hybridMultilevel"/>
    <w:tmpl w:val="35463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886726"/>
    <w:multiLevelType w:val="hybridMultilevel"/>
    <w:tmpl w:val="CC0A4252"/>
    <w:lvl w:ilvl="0" w:tplc="C7F20B18">
      <w:start w:val="1"/>
      <w:numFmt w:val="bullet"/>
      <w:lvlText w:val=""/>
      <w:lvlJc w:val="left"/>
      <w:pPr>
        <w:ind w:left="400" w:hanging="360"/>
      </w:pPr>
      <w:rPr>
        <w:rFonts w:ascii="Symbol" w:hAnsi="Symbol"/>
      </w:rPr>
    </w:lvl>
    <w:lvl w:ilvl="1" w:tplc="D6CE3B18">
      <w:start w:val="1"/>
      <w:numFmt w:val="bullet"/>
      <w:lvlText w:val="o"/>
      <w:lvlJc w:val="left"/>
      <w:pPr>
        <w:ind w:left="800" w:hanging="360"/>
      </w:pPr>
      <w:rPr>
        <w:rFonts w:ascii="Courier New" w:hAnsi="Courier New"/>
      </w:rPr>
    </w:lvl>
    <w:lvl w:ilvl="2" w:tplc="6DC8E976">
      <w:start w:val="1"/>
      <w:numFmt w:val="bullet"/>
      <w:lvlText w:val=""/>
      <w:lvlJc w:val="left"/>
      <w:pPr>
        <w:ind w:left="1200" w:hanging="360"/>
      </w:pPr>
      <w:rPr>
        <w:rFonts w:ascii="Wingdings" w:hAnsi="Wingdings"/>
      </w:rPr>
    </w:lvl>
    <w:lvl w:ilvl="3" w:tplc="D4544CFE">
      <w:start w:val="1"/>
      <w:numFmt w:val="bullet"/>
      <w:lvlText w:val=""/>
      <w:lvlJc w:val="left"/>
      <w:pPr>
        <w:ind w:left="1600" w:hanging="360"/>
      </w:pPr>
      <w:rPr>
        <w:rFonts w:ascii="Symbol" w:hAnsi="Symbol"/>
      </w:rPr>
    </w:lvl>
    <w:lvl w:ilvl="4" w:tplc="0BF27F52">
      <w:start w:val="1"/>
      <w:numFmt w:val="bullet"/>
      <w:lvlText w:val="o"/>
      <w:lvlJc w:val="left"/>
      <w:pPr>
        <w:ind w:left="2000" w:hanging="360"/>
      </w:pPr>
      <w:rPr>
        <w:rFonts w:ascii="Courier New" w:hAnsi="Courier New"/>
      </w:rPr>
    </w:lvl>
    <w:lvl w:ilvl="5" w:tplc="0888A1E2">
      <w:start w:val="1"/>
      <w:numFmt w:val="bullet"/>
      <w:lvlText w:val=""/>
      <w:lvlJc w:val="left"/>
      <w:pPr>
        <w:ind w:left="2400" w:hanging="360"/>
      </w:pPr>
      <w:rPr>
        <w:rFonts w:ascii="Wingdings" w:hAnsi="Wingdings"/>
      </w:rPr>
    </w:lvl>
    <w:lvl w:ilvl="6" w:tplc="F246279A">
      <w:start w:val="1"/>
      <w:numFmt w:val="bullet"/>
      <w:lvlText w:val=""/>
      <w:lvlJc w:val="left"/>
      <w:pPr>
        <w:ind w:left="2800" w:hanging="360"/>
      </w:pPr>
      <w:rPr>
        <w:rFonts w:ascii="Symbol" w:hAnsi="Symbol"/>
      </w:rPr>
    </w:lvl>
    <w:lvl w:ilvl="7" w:tplc="92F8B122">
      <w:start w:val="1"/>
      <w:numFmt w:val="bullet"/>
      <w:lvlText w:val="o"/>
      <w:lvlJc w:val="left"/>
      <w:pPr>
        <w:ind w:left="3200" w:hanging="360"/>
      </w:pPr>
      <w:rPr>
        <w:rFonts w:ascii="Courier New" w:hAnsi="Courier New"/>
      </w:rPr>
    </w:lvl>
    <w:lvl w:ilvl="8" w:tplc="0B121C88">
      <w:numFmt w:val="decimal"/>
      <w:lvlText w:val=""/>
      <w:lvlJc w:val="left"/>
    </w:lvl>
  </w:abstractNum>
  <w:abstractNum w:abstractNumId="5" w15:restartNumberingAfterBreak="0">
    <w:nsid w:val="2BA91AAB"/>
    <w:multiLevelType w:val="hybridMultilevel"/>
    <w:tmpl w:val="A274DB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5B5F64"/>
    <w:multiLevelType w:val="hybridMultilevel"/>
    <w:tmpl w:val="73BEB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985CF4"/>
    <w:multiLevelType w:val="hybridMultilevel"/>
    <w:tmpl w:val="477E3D7E"/>
    <w:lvl w:ilvl="0" w:tplc="0FE62E2A">
      <w:start w:val="1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573D04"/>
    <w:multiLevelType w:val="hybridMultilevel"/>
    <w:tmpl w:val="0BC60200"/>
    <w:lvl w:ilvl="0" w:tplc="18E2FBC6">
      <w:start w:val="1"/>
      <w:numFmt w:val="bullet"/>
      <w:lvlText w:val=""/>
      <w:lvlJc w:val="left"/>
      <w:pPr>
        <w:ind w:left="400" w:hanging="360"/>
      </w:pPr>
      <w:rPr>
        <w:rFonts w:ascii="Symbol" w:hAnsi="Symbol"/>
      </w:rPr>
    </w:lvl>
    <w:lvl w:ilvl="1" w:tplc="8B8E31B4">
      <w:start w:val="1"/>
      <w:numFmt w:val="bullet"/>
      <w:lvlText w:val="o"/>
      <w:lvlJc w:val="left"/>
      <w:pPr>
        <w:ind w:left="800" w:hanging="360"/>
      </w:pPr>
      <w:rPr>
        <w:rFonts w:ascii="Courier New" w:hAnsi="Courier New"/>
      </w:rPr>
    </w:lvl>
    <w:lvl w:ilvl="2" w:tplc="1EDC5FA0">
      <w:start w:val="1"/>
      <w:numFmt w:val="bullet"/>
      <w:lvlText w:val=""/>
      <w:lvlJc w:val="left"/>
      <w:pPr>
        <w:ind w:left="1200" w:hanging="360"/>
      </w:pPr>
      <w:rPr>
        <w:rFonts w:ascii="Wingdings" w:hAnsi="Wingdings"/>
      </w:rPr>
    </w:lvl>
    <w:lvl w:ilvl="3" w:tplc="E3D636B8">
      <w:start w:val="1"/>
      <w:numFmt w:val="bullet"/>
      <w:lvlText w:val=""/>
      <w:lvlJc w:val="left"/>
      <w:pPr>
        <w:ind w:left="1600" w:hanging="360"/>
      </w:pPr>
      <w:rPr>
        <w:rFonts w:ascii="Symbol" w:hAnsi="Symbol"/>
      </w:rPr>
    </w:lvl>
    <w:lvl w:ilvl="4" w:tplc="ABDA7E2C">
      <w:start w:val="1"/>
      <w:numFmt w:val="bullet"/>
      <w:lvlText w:val="o"/>
      <w:lvlJc w:val="left"/>
      <w:pPr>
        <w:ind w:left="2000" w:hanging="360"/>
      </w:pPr>
      <w:rPr>
        <w:rFonts w:ascii="Courier New" w:hAnsi="Courier New"/>
      </w:rPr>
    </w:lvl>
    <w:lvl w:ilvl="5" w:tplc="F42A9F54">
      <w:start w:val="1"/>
      <w:numFmt w:val="bullet"/>
      <w:lvlText w:val=""/>
      <w:lvlJc w:val="left"/>
      <w:pPr>
        <w:ind w:left="2400" w:hanging="360"/>
      </w:pPr>
      <w:rPr>
        <w:rFonts w:ascii="Wingdings" w:hAnsi="Wingdings"/>
      </w:rPr>
    </w:lvl>
    <w:lvl w:ilvl="6" w:tplc="E25C9726">
      <w:start w:val="1"/>
      <w:numFmt w:val="bullet"/>
      <w:lvlText w:val=""/>
      <w:lvlJc w:val="left"/>
      <w:pPr>
        <w:ind w:left="2800" w:hanging="360"/>
      </w:pPr>
      <w:rPr>
        <w:rFonts w:ascii="Symbol" w:hAnsi="Symbol"/>
      </w:rPr>
    </w:lvl>
    <w:lvl w:ilvl="7" w:tplc="1130CBF0">
      <w:start w:val="1"/>
      <w:numFmt w:val="bullet"/>
      <w:lvlText w:val="o"/>
      <w:lvlJc w:val="left"/>
      <w:pPr>
        <w:ind w:left="3200" w:hanging="360"/>
      </w:pPr>
      <w:rPr>
        <w:rFonts w:ascii="Courier New" w:hAnsi="Courier New"/>
      </w:rPr>
    </w:lvl>
    <w:lvl w:ilvl="8" w:tplc="30D6EAB4">
      <w:numFmt w:val="decimal"/>
      <w:lvlText w:val=""/>
      <w:lvlJc w:val="left"/>
    </w:lvl>
  </w:abstractNum>
  <w:abstractNum w:abstractNumId="9" w15:restartNumberingAfterBreak="0">
    <w:nsid w:val="3A7268E1"/>
    <w:multiLevelType w:val="hybridMultilevel"/>
    <w:tmpl w:val="84146582"/>
    <w:lvl w:ilvl="0" w:tplc="ABE4E91A">
      <w:start w:val="1"/>
      <w:numFmt w:val="bullet"/>
      <w:lvlText w:val=""/>
      <w:lvlJc w:val="left"/>
      <w:pPr>
        <w:ind w:left="400" w:hanging="360"/>
      </w:pPr>
      <w:rPr>
        <w:rFonts w:ascii="Symbol" w:hAnsi="Symbol"/>
      </w:rPr>
    </w:lvl>
    <w:lvl w:ilvl="1" w:tplc="358A4C22">
      <w:start w:val="1"/>
      <w:numFmt w:val="bullet"/>
      <w:lvlText w:val="o"/>
      <w:lvlJc w:val="left"/>
      <w:pPr>
        <w:ind w:left="800" w:hanging="360"/>
      </w:pPr>
      <w:rPr>
        <w:rFonts w:ascii="Courier New" w:hAnsi="Courier New"/>
      </w:rPr>
    </w:lvl>
    <w:lvl w:ilvl="2" w:tplc="33F6D25A">
      <w:start w:val="1"/>
      <w:numFmt w:val="bullet"/>
      <w:lvlText w:val=""/>
      <w:lvlJc w:val="left"/>
      <w:pPr>
        <w:ind w:left="1200" w:hanging="360"/>
      </w:pPr>
      <w:rPr>
        <w:rFonts w:ascii="Wingdings" w:hAnsi="Wingdings"/>
      </w:rPr>
    </w:lvl>
    <w:lvl w:ilvl="3" w:tplc="76D42B72">
      <w:start w:val="1"/>
      <w:numFmt w:val="bullet"/>
      <w:lvlText w:val=""/>
      <w:lvlJc w:val="left"/>
      <w:pPr>
        <w:ind w:left="1600" w:hanging="360"/>
      </w:pPr>
      <w:rPr>
        <w:rFonts w:ascii="Symbol" w:hAnsi="Symbol"/>
      </w:rPr>
    </w:lvl>
    <w:lvl w:ilvl="4" w:tplc="17B28EEA">
      <w:start w:val="1"/>
      <w:numFmt w:val="bullet"/>
      <w:lvlText w:val="o"/>
      <w:lvlJc w:val="left"/>
      <w:pPr>
        <w:ind w:left="2000" w:hanging="360"/>
      </w:pPr>
      <w:rPr>
        <w:rFonts w:ascii="Courier New" w:hAnsi="Courier New"/>
      </w:rPr>
    </w:lvl>
    <w:lvl w:ilvl="5" w:tplc="28664124">
      <w:start w:val="1"/>
      <w:numFmt w:val="bullet"/>
      <w:lvlText w:val=""/>
      <w:lvlJc w:val="left"/>
      <w:pPr>
        <w:ind w:left="2400" w:hanging="360"/>
      </w:pPr>
      <w:rPr>
        <w:rFonts w:ascii="Wingdings" w:hAnsi="Wingdings"/>
      </w:rPr>
    </w:lvl>
    <w:lvl w:ilvl="6" w:tplc="4CA23128">
      <w:start w:val="1"/>
      <w:numFmt w:val="bullet"/>
      <w:lvlText w:val=""/>
      <w:lvlJc w:val="left"/>
      <w:pPr>
        <w:ind w:left="2800" w:hanging="360"/>
      </w:pPr>
      <w:rPr>
        <w:rFonts w:ascii="Symbol" w:hAnsi="Symbol"/>
      </w:rPr>
    </w:lvl>
    <w:lvl w:ilvl="7" w:tplc="2AE046F8">
      <w:start w:val="1"/>
      <w:numFmt w:val="bullet"/>
      <w:lvlText w:val="o"/>
      <w:lvlJc w:val="left"/>
      <w:pPr>
        <w:ind w:left="3200" w:hanging="360"/>
      </w:pPr>
      <w:rPr>
        <w:rFonts w:ascii="Courier New" w:hAnsi="Courier New"/>
      </w:rPr>
    </w:lvl>
    <w:lvl w:ilvl="8" w:tplc="FA52B676">
      <w:numFmt w:val="decimal"/>
      <w:lvlText w:val=""/>
      <w:lvlJc w:val="left"/>
    </w:lvl>
  </w:abstractNum>
  <w:abstractNum w:abstractNumId="10" w15:restartNumberingAfterBreak="0">
    <w:nsid w:val="40861E08"/>
    <w:multiLevelType w:val="hybridMultilevel"/>
    <w:tmpl w:val="76F8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8F7978"/>
    <w:multiLevelType w:val="hybridMultilevel"/>
    <w:tmpl w:val="767A89D2"/>
    <w:lvl w:ilvl="0" w:tplc="D842F87C">
      <w:start w:val="1"/>
      <w:numFmt w:val="decimal"/>
      <w:lvlText w:val="%1."/>
      <w:lvlJc w:val="left"/>
      <w:pPr>
        <w:ind w:left="400" w:hanging="360"/>
      </w:pPr>
    </w:lvl>
    <w:lvl w:ilvl="1" w:tplc="4B60F856">
      <w:start w:val="1"/>
      <w:numFmt w:val="lowerLetter"/>
      <w:lvlText w:val="%2."/>
      <w:lvlJc w:val="left"/>
      <w:pPr>
        <w:ind w:left="800" w:hanging="360"/>
      </w:pPr>
    </w:lvl>
    <w:lvl w:ilvl="2" w:tplc="9B569AA8">
      <w:start w:val="1"/>
      <w:numFmt w:val="lowerRoman"/>
      <w:lvlText w:val="%3."/>
      <w:lvlJc w:val="right"/>
      <w:pPr>
        <w:ind w:left="1200" w:hanging="180"/>
      </w:pPr>
    </w:lvl>
    <w:lvl w:ilvl="3" w:tplc="A3F67E9C">
      <w:start w:val="1"/>
      <w:numFmt w:val="decimal"/>
      <w:lvlText w:val="%4."/>
      <w:lvlJc w:val="left"/>
      <w:pPr>
        <w:ind w:left="1600" w:hanging="360"/>
      </w:pPr>
    </w:lvl>
    <w:lvl w:ilvl="4" w:tplc="AB2EB132">
      <w:start w:val="1"/>
      <w:numFmt w:val="lowerLetter"/>
      <w:lvlText w:val="%5."/>
      <w:lvlJc w:val="left"/>
      <w:pPr>
        <w:ind w:left="2000" w:hanging="360"/>
      </w:pPr>
    </w:lvl>
    <w:lvl w:ilvl="5" w:tplc="7184505A">
      <w:start w:val="1"/>
      <w:numFmt w:val="lowerRoman"/>
      <w:lvlText w:val="%6."/>
      <w:lvlJc w:val="right"/>
      <w:pPr>
        <w:ind w:left="2400" w:hanging="180"/>
      </w:pPr>
    </w:lvl>
    <w:lvl w:ilvl="6" w:tplc="DBFA862C">
      <w:start w:val="1"/>
      <w:numFmt w:val="decimal"/>
      <w:lvlText w:val="%7."/>
      <w:lvlJc w:val="left"/>
      <w:pPr>
        <w:ind w:left="2800" w:hanging="360"/>
      </w:pPr>
    </w:lvl>
    <w:lvl w:ilvl="7" w:tplc="D6F61B10">
      <w:start w:val="1"/>
      <w:numFmt w:val="lowerLetter"/>
      <w:lvlText w:val="%8."/>
      <w:lvlJc w:val="left"/>
      <w:pPr>
        <w:ind w:left="3200" w:hanging="360"/>
      </w:pPr>
    </w:lvl>
    <w:lvl w:ilvl="8" w:tplc="B23C518C">
      <w:numFmt w:val="decimal"/>
      <w:lvlText w:val=""/>
      <w:lvlJc w:val="left"/>
    </w:lvl>
  </w:abstractNum>
  <w:abstractNum w:abstractNumId="12" w15:restartNumberingAfterBreak="0">
    <w:nsid w:val="561523F3"/>
    <w:multiLevelType w:val="hybridMultilevel"/>
    <w:tmpl w:val="93301518"/>
    <w:lvl w:ilvl="0" w:tplc="867E13AC">
      <w:start w:val="1"/>
      <w:numFmt w:val="bullet"/>
      <w:lvlText w:val=""/>
      <w:lvlJc w:val="left"/>
      <w:pPr>
        <w:ind w:left="400" w:hanging="360"/>
      </w:pPr>
      <w:rPr>
        <w:rFonts w:ascii="Symbol" w:hAnsi="Symbol"/>
      </w:rPr>
    </w:lvl>
    <w:lvl w:ilvl="1" w:tplc="0BD07D2A">
      <w:start w:val="1"/>
      <w:numFmt w:val="bullet"/>
      <w:lvlText w:val="o"/>
      <w:lvlJc w:val="left"/>
      <w:pPr>
        <w:ind w:left="800" w:hanging="360"/>
      </w:pPr>
      <w:rPr>
        <w:rFonts w:ascii="Courier New" w:hAnsi="Courier New"/>
      </w:rPr>
    </w:lvl>
    <w:lvl w:ilvl="2" w:tplc="3C948C7C">
      <w:start w:val="1"/>
      <w:numFmt w:val="bullet"/>
      <w:lvlText w:val=""/>
      <w:lvlJc w:val="left"/>
      <w:pPr>
        <w:ind w:left="1200" w:hanging="360"/>
      </w:pPr>
      <w:rPr>
        <w:rFonts w:ascii="Wingdings" w:hAnsi="Wingdings"/>
      </w:rPr>
    </w:lvl>
    <w:lvl w:ilvl="3" w:tplc="FFB8E474">
      <w:start w:val="1"/>
      <w:numFmt w:val="bullet"/>
      <w:lvlText w:val=""/>
      <w:lvlJc w:val="left"/>
      <w:pPr>
        <w:ind w:left="1600" w:hanging="360"/>
      </w:pPr>
      <w:rPr>
        <w:rFonts w:ascii="Symbol" w:hAnsi="Symbol"/>
      </w:rPr>
    </w:lvl>
    <w:lvl w:ilvl="4" w:tplc="BC409C8C">
      <w:start w:val="1"/>
      <w:numFmt w:val="bullet"/>
      <w:lvlText w:val="o"/>
      <w:lvlJc w:val="left"/>
      <w:pPr>
        <w:ind w:left="2000" w:hanging="360"/>
      </w:pPr>
      <w:rPr>
        <w:rFonts w:ascii="Courier New" w:hAnsi="Courier New"/>
      </w:rPr>
    </w:lvl>
    <w:lvl w:ilvl="5" w:tplc="3C60A46C">
      <w:start w:val="1"/>
      <w:numFmt w:val="bullet"/>
      <w:lvlText w:val=""/>
      <w:lvlJc w:val="left"/>
      <w:pPr>
        <w:ind w:left="2400" w:hanging="360"/>
      </w:pPr>
      <w:rPr>
        <w:rFonts w:ascii="Wingdings" w:hAnsi="Wingdings"/>
      </w:rPr>
    </w:lvl>
    <w:lvl w:ilvl="6" w:tplc="57AE0580">
      <w:start w:val="1"/>
      <w:numFmt w:val="bullet"/>
      <w:lvlText w:val=""/>
      <w:lvlJc w:val="left"/>
      <w:pPr>
        <w:ind w:left="2800" w:hanging="360"/>
      </w:pPr>
      <w:rPr>
        <w:rFonts w:ascii="Symbol" w:hAnsi="Symbol"/>
      </w:rPr>
    </w:lvl>
    <w:lvl w:ilvl="7" w:tplc="3EF2431A">
      <w:start w:val="1"/>
      <w:numFmt w:val="bullet"/>
      <w:lvlText w:val="o"/>
      <w:lvlJc w:val="left"/>
      <w:pPr>
        <w:ind w:left="3200" w:hanging="360"/>
      </w:pPr>
      <w:rPr>
        <w:rFonts w:ascii="Courier New" w:hAnsi="Courier New"/>
      </w:rPr>
    </w:lvl>
    <w:lvl w:ilvl="8" w:tplc="BA8639BE">
      <w:numFmt w:val="decimal"/>
      <w:lvlText w:val=""/>
      <w:lvlJc w:val="left"/>
    </w:lvl>
  </w:abstractNum>
  <w:abstractNum w:abstractNumId="13" w15:restartNumberingAfterBreak="0">
    <w:nsid w:val="5928106A"/>
    <w:multiLevelType w:val="hybridMultilevel"/>
    <w:tmpl w:val="A96AD956"/>
    <w:lvl w:ilvl="0" w:tplc="5622CEF6">
      <w:start w:val="1"/>
      <w:numFmt w:val="bullet"/>
      <w:lvlText w:val=""/>
      <w:lvlJc w:val="left"/>
      <w:pPr>
        <w:ind w:left="400" w:hanging="360"/>
      </w:pPr>
      <w:rPr>
        <w:rFonts w:ascii="Symbol" w:hAnsi="Symbol"/>
      </w:rPr>
    </w:lvl>
    <w:lvl w:ilvl="1" w:tplc="5466546A">
      <w:start w:val="1"/>
      <w:numFmt w:val="bullet"/>
      <w:lvlText w:val="o"/>
      <w:lvlJc w:val="left"/>
      <w:pPr>
        <w:ind w:left="800" w:hanging="360"/>
      </w:pPr>
      <w:rPr>
        <w:rFonts w:ascii="Courier New" w:hAnsi="Courier New"/>
      </w:rPr>
    </w:lvl>
    <w:lvl w:ilvl="2" w:tplc="E6669D0A">
      <w:start w:val="1"/>
      <w:numFmt w:val="bullet"/>
      <w:lvlText w:val=""/>
      <w:lvlJc w:val="left"/>
      <w:pPr>
        <w:ind w:left="1200" w:hanging="360"/>
      </w:pPr>
      <w:rPr>
        <w:rFonts w:ascii="Wingdings" w:hAnsi="Wingdings"/>
      </w:rPr>
    </w:lvl>
    <w:lvl w:ilvl="3" w:tplc="098E1144">
      <w:start w:val="1"/>
      <w:numFmt w:val="bullet"/>
      <w:lvlText w:val=""/>
      <w:lvlJc w:val="left"/>
      <w:pPr>
        <w:ind w:left="1600" w:hanging="360"/>
      </w:pPr>
      <w:rPr>
        <w:rFonts w:ascii="Symbol" w:hAnsi="Symbol"/>
      </w:rPr>
    </w:lvl>
    <w:lvl w:ilvl="4" w:tplc="A61037DE">
      <w:start w:val="1"/>
      <w:numFmt w:val="bullet"/>
      <w:lvlText w:val="o"/>
      <w:lvlJc w:val="left"/>
      <w:pPr>
        <w:ind w:left="2000" w:hanging="360"/>
      </w:pPr>
      <w:rPr>
        <w:rFonts w:ascii="Courier New" w:hAnsi="Courier New"/>
      </w:rPr>
    </w:lvl>
    <w:lvl w:ilvl="5" w:tplc="D26E55F2">
      <w:start w:val="1"/>
      <w:numFmt w:val="bullet"/>
      <w:lvlText w:val=""/>
      <w:lvlJc w:val="left"/>
      <w:pPr>
        <w:ind w:left="2400" w:hanging="360"/>
      </w:pPr>
      <w:rPr>
        <w:rFonts w:ascii="Wingdings" w:hAnsi="Wingdings"/>
      </w:rPr>
    </w:lvl>
    <w:lvl w:ilvl="6" w:tplc="9CDE6E1E">
      <w:start w:val="1"/>
      <w:numFmt w:val="bullet"/>
      <w:lvlText w:val=""/>
      <w:lvlJc w:val="left"/>
      <w:pPr>
        <w:ind w:left="2800" w:hanging="360"/>
      </w:pPr>
      <w:rPr>
        <w:rFonts w:ascii="Symbol" w:hAnsi="Symbol"/>
      </w:rPr>
    </w:lvl>
    <w:lvl w:ilvl="7" w:tplc="FED4D1B4">
      <w:start w:val="1"/>
      <w:numFmt w:val="bullet"/>
      <w:lvlText w:val="o"/>
      <w:lvlJc w:val="left"/>
      <w:pPr>
        <w:ind w:left="3200" w:hanging="360"/>
      </w:pPr>
      <w:rPr>
        <w:rFonts w:ascii="Courier New" w:hAnsi="Courier New"/>
      </w:rPr>
    </w:lvl>
    <w:lvl w:ilvl="8" w:tplc="9D684F0C">
      <w:numFmt w:val="decimal"/>
      <w:lvlText w:val=""/>
      <w:lvlJc w:val="left"/>
    </w:lvl>
  </w:abstractNum>
  <w:abstractNum w:abstractNumId="14" w15:restartNumberingAfterBreak="0">
    <w:nsid w:val="64073850"/>
    <w:multiLevelType w:val="hybridMultilevel"/>
    <w:tmpl w:val="E14A837A"/>
    <w:lvl w:ilvl="0" w:tplc="0FE62E2A">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414A39"/>
    <w:multiLevelType w:val="hybridMultilevel"/>
    <w:tmpl w:val="40ECF4A8"/>
    <w:lvl w:ilvl="0" w:tplc="8804A56C">
      <w:start w:val="1"/>
      <w:numFmt w:val="bullet"/>
      <w:lvlText w:val=""/>
      <w:lvlJc w:val="left"/>
      <w:pPr>
        <w:ind w:left="400" w:hanging="360"/>
      </w:pPr>
      <w:rPr>
        <w:rFonts w:ascii="Symbol" w:hAnsi="Symbol"/>
      </w:rPr>
    </w:lvl>
    <w:lvl w:ilvl="1" w:tplc="AE50C61C">
      <w:start w:val="1"/>
      <w:numFmt w:val="bullet"/>
      <w:lvlText w:val="o"/>
      <w:lvlJc w:val="left"/>
      <w:pPr>
        <w:ind w:left="800" w:hanging="360"/>
      </w:pPr>
      <w:rPr>
        <w:rFonts w:ascii="Courier New" w:hAnsi="Courier New"/>
      </w:rPr>
    </w:lvl>
    <w:lvl w:ilvl="2" w:tplc="A0345D18">
      <w:start w:val="1"/>
      <w:numFmt w:val="bullet"/>
      <w:lvlText w:val=""/>
      <w:lvlJc w:val="left"/>
      <w:pPr>
        <w:ind w:left="1200" w:hanging="360"/>
      </w:pPr>
      <w:rPr>
        <w:rFonts w:ascii="Wingdings" w:hAnsi="Wingdings"/>
      </w:rPr>
    </w:lvl>
    <w:lvl w:ilvl="3" w:tplc="D496FAB2">
      <w:start w:val="1"/>
      <w:numFmt w:val="bullet"/>
      <w:lvlText w:val=""/>
      <w:lvlJc w:val="left"/>
      <w:pPr>
        <w:ind w:left="1600" w:hanging="360"/>
      </w:pPr>
      <w:rPr>
        <w:rFonts w:ascii="Symbol" w:hAnsi="Symbol"/>
      </w:rPr>
    </w:lvl>
    <w:lvl w:ilvl="4" w:tplc="30FCB37C">
      <w:start w:val="1"/>
      <w:numFmt w:val="bullet"/>
      <w:lvlText w:val="o"/>
      <w:lvlJc w:val="left"/>
      <w:pPr>
        <w:ind w:left="2000" w:hanging="360"/>
      </w:pPr>
      <w:rPr>
        <w:rFonts w:ascii="Courier New" w:hAnsi="Courier New"/>
      </w:rPr>
    </w:lvl>
    <w:lvl w:ilvl="5" w:tplc="0BCA88A2">
      <w:start w:val="1"/>
      <w:numFmt w:val="bullet"/>
      <w:lvlText w:val=""/>
      <w:lvlJc w:val="left"/>
      <w:pPr>
        <w:ind w:left="2400" w:hanging="360"/>
      </w:pPr>
      <w:rPr>
        <w:rFonts w:ascii="Wingdings" w:hAnsi="Wingdings"/>
      </w:rPr>
    </w:lvl>
    <w:lvl w:ilvl="6" w:tplc="207EDDEA">
      <w:start w:val="1"/>
      <w:numFmt w:val="bullet"/>
      <w:lvlText w:val=""/>
      <w:lvlJc w:val="left"/>
      <w:pPr>
        <w:ind w:left="2800" w:hanging="360"/>
      </w:pPr>
      <w:rPr>
        <w:rFonts w:ascii="Symbol" w:hAnsi="Symbol"/>
      </w:rPr>
    </w:lvl>
    <w:lvl w:ilvl="7" w:tplc="08B0B9CE">
      <w:start w:val="1"/>
      <w:numFmt w:val="bullet"/>
      <w:lvlText w:val="o"/>
      <w:lvlJc w:val="left"/>
      <w:pPr>
        <w:ind w:left="3200" w:hanging="360"/>
      </w:pPr>
      <w:rPr>
        <w:rFonts w:ascii="Courier New" w:hAnsi="Courier New"/>
      </w:rPr>
    </w:lvl>
    <w:lvl w:ilvl="8" w:tplc="C71AD47A">
      <w:numFmt w:val="decimal"/>
      <w:lvlText w:val=""/>
      <w:lvlJc w:val="left"/>
    </w:lvl>
  </w:abstractNum>
  <w:num w:numId="1" w16cid:durableId="1157922609">
    <w:abstractNumId w:val="9"/>
  </w:num>
  <w:num w:numId="2" w16cid:durableId="2080903801">
    <w:abstractNumId w:val="2"/>
  </w:num>
  <w:num w:numId="3" w16cid:durableId="1624843550">
    <w:abstractNumId w:val="15"/>
  </w:num>
  <w:num w:numId="4" w16cid:durableId="1658536161">
    <w:abstractNumId w:val="11"/>
  </w:num>
  <w:num w:numId="5" w16cid:durableId="1562904423">
    <w:abstractNumId w:val="12"/>
  </w:num>
  <w:num w:numId="6" w16cid:durableId="1787580778">
    <w:abstractNumId w:val="4"/>
  </w:num>
  <w:num w:numId="7" w16cid:durableId="918901912">
    <w:abstractNumId w:val="8"/>
  </w:num>
  <w:num w:numId="8" w16cid:durableId="1594314874">
    <w:abstractNumId w:val="13"/>
  </w:num>
  <w:num w:numId="9" w16cid:durableId="1834294797">
    <w:abstractNumId w:val="1"/>
  </w:num>
  <w:num w:numId="10" w16cid:durableId="369454054">
    <w:abstractNumId w:val="0"/>
  </w:num>
  <w:num w:numId="11" w16cid:durableId="546379881">
    <w:abstractNumId w:val="5"/>
  </w:num>
  <w:num w:numId="12" w16cid:durableId="601956975">
    <w:abstractNumId w:val="10"/>
  </w:num>
  <w:num w:numId="13" w16cid:durableId="1268076519">
    <w:abstractNumId w:val="3"/>
  </w:num>
  <w:num w:numId="14" w16cid:durableId="1456018744">
    <w:abstractNumId w:val="14"/>
  </w:num>
  <w:num w:numId="15" w16cid:durableId="448817736">
    <w:abstractNumId w:val="7"/>
  </w:num>
  <w:num w:numId="16" w16cid:durableId="16396049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D7BA2"/>
    <w:rsid w:val="00017EC5"/>
    <w:rsid w:val="00031D7C"/>
    <w:rsid w:val="001519FB"/>
    <w:rsid w:val="003774D2"/>
    <w:rsid w:val="0043717F"/>
    <w:rsid w:val="006250E2"/>
    <w:rsid w:val="00A54B6E"/>
    <w:rsid w:val="00A561A9"/>
    <w:rsid w:val="00AC39CD"/>
    <w:rsid w:val="00AD2398"/>
    <w:rsid w:val="00C878E5"/>
    <w:rsid w:val="00E564F0"/>
    <w:rsid w:val="00EC3BBF"/>
    <w:rsid w:val="00ED7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511C8"/>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Footnote Text Char Char Char Char Char Char Char,Footnote Text Char Char Char Char Char,Footnote Text Char Char Char Char Char Char,Footnote Text Char Char Char Char Ch Char,Footnotes,Geneva 9,Font: Geneva 9,f"/>
    <w:basedOn w:val="Normal"/>
    <w:link w:val="FootnoteTextChar"/>
    <w:uiPriority w:val="99"/>
    <w:unhideWhenUsed/>
    <w:qFormat/>
    <w:rsid w:val="00031D7C"/>
    <w:rPr>
      <w:sz w:val="20"/>
      <w:szCs w:val="20"/>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link w:val="FootnoteText"/>
    <w:uiPriority w:val="99"/>
    <w:rsid w:val="00031D7C"/>
    <w:rPr>
      <w:sz w:val="20"/>
      <w:szCs w:val="20"/>
    </w:rPr>
  </w:style>
  <w:style w:type="character" w:styleId="FootnoteReference">
    <w:name w:val="footnote reference"/>
    <w:aliases w:val="ftref,(NECG) Footnote Reference,Ref,de nota al pie,16 Point,Superscript 6 Point,SUPERS,number,Footnote reference number,Footnote symbol,note TESI,-E Fußnotenzeichen,Superscript 6 Point + 11 pt,referencia nota al pie"/>
    <w:basedOn w:val="DefaultParagraphFont"/>
    <w:uiPriority w:val="99"/>
    <w:unhideWhenUsed/>
    <w:qFormat/>
    <w:rsid w:val="00031D7C"/>
    <w:rPr>
      <w:vertAlign w:val="superscript"/>
    </w:rPr>
  </w:style>
  <w:style w:type="paragraph" w:styleId="ListParagraph">
    <w:name w:val="List Paragraph"/>
    <w:basedOn w:val="Normal"/>
    <w:uiPriority w:val="34"/>
    <w:qFormat/>
    <w:rsid w:val="00031D7C"/>
    <w:pPr>
      <w:ind w:left="720"/>
      <w:contextualSpacing/>
    </w:pPr>
  </w:style>
  <w:style w:type="table" w:styleId="TableGrid">
    <w:name w:val="Table Grid"/>
    <w:basedOn w:val="TableNormal"/>
    <w:uiPriority w:val="39"/>
    <w:rsid w:val="00C878E5"/>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7EC5"/>
    <w:pPr>
      <w:tabs>
        <w:tab w:val="center" w:pos="4680"/>
        <w:tab w:val="right" w:pos="9360"/>
      </w:tabs>
    </w:pPr>
  </w:style>
  <w:style w:type="character" w:customStyle="1" w:styleId="HeaderChar">
    <w:name w:val="Header Char"/>
    <w:basedOn w:val="DefaultParagraphFont"/>
    <w:link w:val="Header"/>
    <w:uiPriority w:val="99"/>
    <w:rsid w:val="00017EC5"/>
  </w:style>
  <w:style w:type="paragraph" w:styleId="Footer">
    <w:name w:val="footer"/>
    <w:basedOn w:val="Normal"/>
    <w:link w:val="FooterChar"/>
    <w:uiPriority w:val="99"/>
    <w:unhideWhenUsed/>
    <w:rsid w:val="00017EC5"/>
    <w:pPr>
      <w:tabs>
        <w:tab w:val="center" w:pos="4680"/>
        <w:tab w:val="right" w:pos="9360"/>
      </w:tabs>
    </w:pPr>
  </w:style>
  <w:style w:type="character" w:customStyle="1" w:styleId="FooterChar">
    <w:name w:val="Footer Char"/>
    <w:basedOn w:val="DefaultParagraphFont"/>
    <w:link w:val="Footer"/>
    <w:uiPriority w:val="99"/>
    <w:rsid w:val="00017E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3984B-30E5-5C40-A8D3-66B02DA82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9</Pages>
  <Words>1276</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Bruna Oliveira</cp:lastModifiedBy>
  <cp:revision>8</cp:revision>
  <dcterms:created xsi:type="dcterms:W3CDTF">2024-05-30T16:23:00Z</dcterms:created>
  <dcterms:modified xsi:type="dcterms:W3CDTF">2024-06-02T22:55:00Z</dcterms:modified>
</cp:coreProperties>
</file>