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0A2383" w14:textId="3039612D" w:rsidR="00A8483E" w:rsidRDefault="00BB2C44">
      <w:pPr>
        <w:spacing w:before="120" w:after="120"/>
        <w:jc w:val="center"/>
      </w:pPr>
      <w:r>
        <w:rPr>
          <w:noProof/>
        </w:rPr>
        <w:drawing>
          <wp:anchor distT="0" distB="0" distL="114300" distR="114300" simplePos="0" relativeHeight="251657215" behindDoc="0" locked="0" layoutInCell="1" allowOverlap="1" wp14:anchorId="315064AD" wp14:editId="296559F9">
            <wp:simplePos x="0" y="0"/>
            <wp:positionH relativeFrom="page">
              <wp:posOffset>0</wp:posOffset>
            </wp:positionH>
            <wp:positionV relativeFrom="paragraph">
              <wp:posOffset>-3717</wp:posOffset>
            </wp:positionV>
            <wp:extent cx="7562850" cy="2268855"/>
            <wp:effectExtent l="0" t="0" r="0" b="0"/>
            <wp:wrapTopAndBottom/>
            <wp:docPr id="19" name="Drawing 0" descr="aa548fce586f5ecdf4612d2b13dd449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a548fce586f5ecdf4612d2b13dd449d.png"/>
                    <pic:cNvPicPr>
                      <a:picLocks noChangeAspect="1"/>
                    </pic:cNvPicPr>
                  </pic:nvPicPr>
                  <pic:blipFill>
                    <a:blip r:embed="rId7"/>
                    <a:stretch>
                      <a:fillRect/>
                    </a:stretch>
                  </pic:blipFill>
                  <pic:spPr>
                    <a:xfrm>
                      <a:off x="0" y="0"/>
                      <a:ext cx="7562850" cy="2268855"/>
                    </a:xfrm>
                    <a:prstGeom prst="rect">
                      <a:avLst/>
                    </a:prstGeom>
                  </pic:spPr>
                </pic:pic>
              </a:graphicData>
            </a:graphic>
          </wp:anchor>
        </w:drawing>
      </w:r>
    </w:p>
    <w:p w14:paraId="5E0134E6" w14:textId="77777777" w:rsidR="00A8483E" w:rsidRPr="00BB2C44" w:rsidRDefault="00000000">
      <w:pPr>
        <w:spacing w:before="120" w:after="120" w:line="336" w:lineRule="auto"/>
        <w:rPr>
          <w:rFonts w:ascii="Bodoni 72 Book" w:hAnsi="Bodoni 72 Book"/>
        </w:rPr>
      </w:pPr>
      <w:r w:rsidRPr="00BB2C44">
        <w:rPr>
          <w:rFonts w:ascii="Bodoni 72 Book" w:eastAsia="Prata" w:hAnsi="Bodoni 72 Book" w:cs="Prata"/>
          <w:color w:val="573B46"/>
          <w:sz w:val="64"/>
          <w:szCs w:val="64"/>
        </w:rPr>
        <w:t xml:space="preserve">Key Considerations  </w:t>
      </w:r>
    </w:p>
    <w:p w14:paraId="6F57535D" w14:textId="77777777" w:rsidR="00A8483E" w:rsidRDefault="00A8483E">
      <w:pPr>
        <w:pBdr>
          <w:bottom w:val="single" w:sz="6" w:space="0" w:color="573B46"/>
        </w:pBdr>
        <w:spacing w:before="120" w:after="120" w:line="0" w:lineRule="auto"/>
      </w:pPr>
    </w:p>
    <w:p w14:paraId="28D23465" w14:textId="2CF6EE25" w:rsidR="00BB2C44" w:rsidRPr="00BB2C44" w:rsidRDefault="00BB2C44" w:rsidP="00BB2C44">
      <w:pPr>
        <w:spacing w:before="120" w:after="120" w:line="336" w:lineRule="auto"/>
        <w:rPr>
          <w:rFonts w:ascii="Avenir Next" w:eastAsia="Montserrat" w:hAnsi="Avenir Next" w:cs="Montserrat"/>
          <w:color w:val="000000"/>
          <w:sz w:val="20"/>
          <w:szCs w:val="20"/>
        </w:rPr>
      </w:pPr>
      <w:r w:rsidRPr="00BB2C44">
        <w:rPr>
          <w:rFonts w:ascii="Avenir Next" w:eastAsia="Montserrat" w:hAnsi="Avenir Next" w:cs="Montserrat"/>
          <w:color w:val="000000"/>
          <w:sz w:val="20"/>
          <w:szCs w:val="20"/>
        </w:rPr>
        <w:t>UNFCCC REDD+ safeguard ‘b</w:t>
      </w:r>
      <w:r w:rsidR="00C90D89" w:rsidRPr="00BB2C44">
        <w:rPr>
          <w:rFonts w:ascii="Avenir Next" w:eastAsia="Montserrat" w:hAnsi="Avenir Next" w:cs="Montserrat"/>
          <w:color w:val="000000"/>
          <w:sz w:val="20"/>
          <w:szCs w:val="20"/>
        </w:rPr>
        <w:t>’ refers</w:t>
      </w:r>
      <w:r w:rsidRPr="00BB2C44">
        <w:rPr>
          <w:rFonts w:ascii="Avenir Next" w:eastAsia="Montserrat" w:hAnsi="Avenir Next" w:cs="Montserrat"/>
          <w:color w:val="000000"/>
          <w:sz w:val="20"/>
          <w:szCs w:val="20"/>
        </w:rPr>
        <w:t xml:space="preserve"> to effective governance structures, which generally include access to a fair REDD+ revenue distribution plan or system, especially for </w:t>
      </w:r>
      <w:r w:rsidR="00C90D89">
        <w:rPr>
          <w:rFonts w:ascii="Avenir Next" w:eastAsia="Montserrat" w:hAnsi="Avenir Next" w:cs="Montserrat"/>
          <w:color w:val="000000"/>
          <w:sz w:val="20"/>
          <w:szCs w:val="20"/>
        </w:rPr>
        <w:t>I</w:t>
      </w:r>
      <w:r w:rsidRPr="00BB2C44">
        <w:rPr>
          <w:rFonts w:ascii="Avenir Next" w:eastAsia="Montserrat" w:hAnsi="Avenir Next" w:cs="Montserrat"/>
          <w:color w:val="000000"/>
          <w:sz w:val="20"/>
          <w:szCs w:val="20"/>
        </w:rPr>
        <w:t xml:space="preserve">ndigenous peoples and local communities. For the purposes of demonstrating conformance with this element of the </w:t>
      </w:r>
      <w:r w:rsidR="00C90D89" w:rsidRPr="00BB2C44">
        <w:rPr>
          <w:rFonts w:ascii="Avenir Next" w:eastAsia="Montserrat" w:hAnsi="Avenir Next" w:cs="Montserrat"/>
          <w:color w:val="000000"/>
          <w:sz w:val="20"/>
          <w:szCs w:val="20"/>
        </w:rPr>
        <w:t>safeguard, Jurisdictional</w:t>
      </w:r>
      <w:r w:rsidRPr="00BB2C44">
        <w:rPr>
          <w:rFonts w:ascii="Avenir Next" w:eastAsia="Montserrat" w:hAnsi="Avenir Next" w:cs="Montserrat"/>
          <w:color w:val="000000"/>
          <w:sz w:val="20"/>
          <w:szCs w:val="20"/>
        </w:rPr>
        <w:t xml:space="preserve"> REDD+ (J-REDD+) programs are expected to have in place a REDD+ revenue distribution plan or system. These plans or systems are expected to be aligned with international standards and best practices.</w:t>
      </w:r>
    </w:p>
    <w:p w14:paraId="2D047080" w14:textId="6EC805CF" w:rsidR="00BB2C44" w:rsidRDefault="00BB2C44" w:rsidP="00BB2C44">
      <w:pPr>
        <w:spacing w:before="120" w:after="120" w:line="336" w:lineRule="auto"/>
        <w:rPr>
          <w:rFonts w:ascii="Avenir Next" w:eastAsia="Montserrat" w:hAnsi="Avenir Next" w:cs="Montserrat"/>
          <w:color w:val="000000"/>
          <w:sz w:val="20"/>
          <w:szCs w:val="20"/>
        </w:rPr>
      </w:pPr>
      <w:r w:rsidRPr="00BB2C44">
        <w:rPr>
          <w:rFonts w:ascii="Avenir Next" w:eastAsia="Montserrat" w:hAnsi="Avenir Next" w:cs="Montserrat"/>
          <w:color w:val="000000"/>
          <w:sz w:val="20"/>
          <w:szCs w:val="20"/>
        </w:rPr>
        <w:t>According to international best practices, a revenue distribution plan or system should be informed by several principles, including</w:t>
      </w:r>
      <w:r w:rsidR="00EE744F">
        <w:rPr>
          <w:rStyle w:val="FootnoteReference"/>
          <w:rFonts w:ascii="Avenir Next" w:eastAsia="Montserrat" w:hAnsi="Avenir Next" w:cs="Montserrat"/>
          <w:color w:val="000000"/>
          <w:sz w:val="20"/>
          <w:szCs w:val="20"/>
        </w:rPr>
        <w:footnoteReference w:id="1"/>
      </w:r>
      <w:r w:rsidR="00524B9A">
        <w:rPr>
          <w:rFonts w:ascii="Avenir Next" w:eastAsia="Montserrat" w:hAnsi="Avenir Next" w:cs="Montserrat"/>
          <w:color w:val="000000"/>
          <w:sz w:val="20"/>
          <w:szCs w:val="20"/>
        </w:rPr>
        <w:t xml:space="preserve">, </w:t>
      </w:r>
      <w:r w:rsidR="00524B9A">
        <w:rPr>
          <w:rStyle w:val="FootnoteReference"/>
          <w:rFonts w:ascii="Avenir Next" w:eastAsia="Montserrat" w:hAnsi="Avenir Next" w:cs="Montserrat"/>
          <w:color w:val="000000"/>
          <w:sz w:val="20"/>
          <w:szCs w:val="20"/>
        </w:rPr>
        <w:footnoteReference w:id="2"/>
      </w:r>
      <w:r w:rsidR="00524B9A">
        <w:rPr>
          <w:rFonts w:ascii="Avenir Next" w:eastAsia="Montserrat" w:hAnsi="Avenir Next" w:cs="Montserrat"/>
          <w:color w:val="000000"/>
          <w:sz w:val="20"/>
          <w:szCs w:val="20"/>
        </w:rPr>
        <w:t xml:space="preserve">, </w:t>
      </w:r>
      <w:r w:rsidR="00524B9A">
        <w:rPr>
          <w:rStyle w:val="FootnoteReference"/>
          <w:rFonts w:ascii="Avenir Next" w:eastAsia="Montserrat" w:hAnsi="Avenir Next" w:cs="Montserrat"/>
          <w:color w:val="000000"/>
          <w:sz w:val="20"/>
          <w:szCs w:val="20"/>
        </w:rPr>
        <w:footnoteReference w:id="3"/>
      </w:r>
      <w:r w:rsidRPr="00BB2C44">
        <w:rPr>
          <w:rFonts w:ascii="Avenir Next" w:eastAsia="Montserrat" w:hAnsi="Avenir Next" w:cs="Montserrat"/>
          <w:color w:val="000000"/>
          <w:sz w:val="20"/>
          <w:szCs w:val="20"/>
        </w:rPr>
        <w:t>:</w:t>
      </w:r>
    </w:p>
    <w:p w14:paraId="0A8602A4" w14:textId="77777777" w:rsidR="00BB2C44" w:rsidRDefault="00BB2C44" w:rsidP="00BB2C44">
      <w:pPr>
        <w:pStyle w:val="ListParagraph"/>
        <w:numPr>
          <w:ilvl w:val="0"/>
          <w:numId w:val="14"/>
        </w:numPr>
        <w:spacing w:before="120" w:after="120" w:line="336" w:lineRule="auto"/>
        <w:rPr>
          <w:rFonts w:ascii="Avenir Next" w:eastAsia="Montserrat" w:hAnsi="Avenir Next" w:cs="Montserrat"/>
          <w:color w:val="000000"/>
          <w:sz w:val="20"/>
          <w:szCs w:val="20"/>
        </w:rPr>
      </w:pPr>
      <w:r w:rsidRPr="00BB2C44">
        <w:rPr>
          <w:rFonts w:ascii="Avenir Next" w:eastAsia="Montserrat" w:hAnsi="Avenir Next" w:cs="Montserrat"/>
          <w:i/>
          <w:iCs/>
          <w:color w:val="000000"/>
          <w:sz w:val="20"/>
          <w:szCs w:val="20"/>
        </w:rPr>
        <w:t>Participation</w:t>
      </w:r>
      <w:r w:rsidRPr="00BB2C44">
        <w:rPr>
          <w:rFonts w:ascii="Avenir Next" w:eastAsia="Montserrat" w:hAnsi="Avenir Next" w:cs="Montserrat"/>
          <w:color w:val="000000"/>
          <w:sz w:val="20"/>
          <w:szCs w:val="20"/>
        </w:rPr>
        <w:t xml:space="preserve"> – not only for beneficiaries in defining the form of incentives, but also including other stakeholders more broadly in designing, implementing, and evaluating revenue distribution, and in governance processes and decision making; </w:t>
      </w:r>
    </w:p>
    <w:p w14:paraId="23B8C666" w14:textId="77777777" w:rsidR="00BB2C44" w:rsidRDefault="00BB2C44" w:rsidP="00BB2C44">
      <w:pPr>
        <w:pStyle w:val="ListParagraph"/>
        <w:numPr>
          <w:ilvl w:val="0"/>
          <w:numId w:val="14"/>
        </w:numPr>
        <w:spacing w:before="120" w:after="120" w:line="336" w:lineRule="auto"/>
        <w:rPr>
          <w:rFonts w:ascii="Avenir Next" w:eastAsia="Montserrat" w:hAnsi="Avenir Next" w:cs="Montserrat"/>
          <w:color w:val="000000"/>
          <w:sz w:val="20"/>
          <w:szCs w:val="20"/>
        </w:rPr>
      </w:pPr>
      <w:r w:rsidRPr="00BB2C44">
        <w:rPr>
          <w:rFonts w:ascii="Avenir Next" w:eastAsia="Montserrat" w:hAnsi="Avenir Next" w:cs="Montserrat"/>
          <w:i/>
          <w:iCs/>
          <w:color w:val="000000"/>
          <w:sz w:val="20"/>
          <w:szCs w:val="20"/>
        </w:rPr>
        <w:t>Transparency</w:t>
      </w:r>
      <w:r w:rsidRPr="00BB2C44">
        <w:rPr>
          <w:rFonts w:ascii="Avenir Next" w:eastAsia="Montserrat" w:hAnsi="Avenir Next" w:cs="Montserrat"/>
          <w:color w:val="000000"/>
          <w:sz w:val="20"/>
          <w:szCs w:val="20"/>
        </w:rPr>
        <w:t xml:space="preserve"> – transparent information on eligibility and conditions for receiving incentives, the finance received and delivered, implementation costs, and how decisions are made and implemented, which provides a basis for building trust, support, agreement, and legitimacy; </w:t>
      </w:r>
    </w:p>
    <w:p w14:paraId="1244813E" w14:textId="77777777" w:rsidR="00BB2C44" w:rsidRDefault="00BB2C44" w:rsidP="00BB2C44">
      <w:pPr>
        <w:pStyle w:val="ListParagraph"/>
        <w:numPr>
          <w:ilvl w:val="0"/>
          <w:numId w:val="14"/>
        </w:numPr>
        <w:spacing w:before="120" w:after="120" w:line="336" w:lineRule="auto"/>
        <w:rPr>
          <w:rFonts w:ascii="Avenir Next" w:eastAsia="Montserrat" w:hAnsi="Avenir Next" w:cs="Montserrat"/>
          <w:color w:val="000000"/>
          <w:sz w:val="20"/>
          <w:szCs w:val="20"/>
        </w:rPr>
      </w:pPr>
      <w:r w:rsidRPr="00BB2C44">
        <w:rPr>
          <w:rFonts w:ascii="Avenir Next" w:eastAsia="Montserrat" w:hAnsi="Avenir Next" w:cs="Montserrat"/>
          <w:i/>
          <w:iCs/>
          <w:color w:val="000000"/>
          <w:sz w:val="20"/>
          <w:szCs w:val="20"/>
        </w:rPr>
        <w:t>Accountability</w:t>
      </w:r>
      <w:r w:rsidRPr="00BB2C44">
        <w:rPr>
          <w:rFonts w:ascii="Avenir Next" w:eastAsia="Montserrat" w:hAnsi="Avenir Next" w:cs="Montserrat"/>
          <w:color w:val="000000"/>
          <w:sz w:val="20"/>
          <w:szCs w:val="20"/>
        </w:rPr>
        <w:t xml:space="preserve"> – through effective and transparent oversight mechanisms that ensure revenue distribution is governed and implemented as agreed; </w:t>
      </w:r>
    </w:p>
    <w:p w14:paraId="446B48A9" w14:textId="77777777" w:rsidR="00BB2C44" w:rsidRDefault="00BB2C44" w:rsidP="00BB2C44">
      <w:pPr>
        <w:pStyle w:val="ListParagraph"/>
        <w:numPr>
          <w:ilvl w:val="0"/>
          <w:numId w:val="14"/>
        </w:numPr>
        <w:spacing w:before="120" w:after="120" w:line="336" w:lineRule="auto"/>
        <w:rPr>
          <w:rFonts w:ascii="Avenir Next" w:eastAsia="Montserrat" w:hAnsi="Avenir Next" w:cs="Montserrat"/>
          <w:color w:val="000000"/>
          <w:sz w:val="20"/>
          <w:szCs w:val="20"/>
        </w:rPr>
      </w:pPr>
      <w:r w:rsidRPr="00BB2C44">
        <w:rPr>
          <w:rFonts w:ascii="Avenir Next" w:eastAsia="Montserrat" w:hAnsi="Avenir Next" w:cs="Montserrat"/>
          <w:i/>
          <w:iCs/>
          <w:color w:val="000000"/>
          <w:sz w:val="20"/>
          <w:szCs w:val="20"/>
        </w:rPr>
        <w:lastRenderedPageBreak/>
        <w:t>Equity and inclusion</w:t>
      </w:r>
      <w:r w:rsidRPr="00BB2C44">
        <w:rPr>
          <w:rFonts w:ascii="Avenir Next" w:eastAsia="Montserrat" w:hAnsi="Avenir Next" w:cs="Montserrat"/>
          <w:color w:val="000000"/>
          <w:sz w:val="20"/>
          <w:szCs w:val="20"/>
        </w:rPr>
        <w:t xml:space="preserve"> – in the design and implementation of revenue distribution in a manner that is fair, impartial, and inclusive, ensuring nondiscrimination regarding women and vulnerable and/or marginalized individuals and groups; and </w:t>
      </w:r>
    </w:p>
    <w:p w14:paraId="7B77C159" w14:textId="1D7E4E6B" w:rsidR="00BB2C44" w:rsidRPr="00BB2C44" w:rsidRDefault="00BB2C44" w:rsidP="00BB2C44">
      <w:pPr>
        <w:pStyle w:val="ListParagraph"/>
        <w:numPr>
          <w:ilvl w:val="0"/>
          <w:numId w:val="14"/>
        </w:numPr>
        <w:spacing w:before="120" w:after="120" w:line="336" w:lineRule="auto"/>
        <w:rPr>
          <w:rFonts w:ascii="Avenir Next" w:eastAsia="Montserrat" w:hAnsi="Avenir Next" w:cs="Montserrat"/>
          <w:color w:val="000000"/>
          <w:sz w:val="20"/>
          <w:szCs w:val="20"/>
        </w:rPr>
      </w:pPr>
      <w:r w:rsidRPr="00BB2C44">
        <w:rPr>
          <w:rFonts w:ascii="Avenir Next" w:eastAsia="Montserrat" w:hAnsi="Avenir Next" w:cs="Montserrat"/>
          <w:i/>
          <w:iCs/>
          <w:color w:val="000000"/>
          <w:sz w:val="20"/>
          <w:szCs w:val="20"/>
        </w:rPr>
        <w:t>Effectiveness and efficiency</w:t>
      </w:r>
      <w:r w:rsidRPr="00BB2C44">
        <w:rPr>
          <w:rFonts w:ascii="Avenir Next" w:eastAsia="Montserrat" w:hAnsi="Avenir Next" w:cs="Montserrat"/>
          <w:color w:val="000000"/>
          <w:sz w:val="20"/>
          <w:szCs w:val="20"/>
        </w:rPr>
        <w:t xml:space="preserve"> – in meeting the agreed objectives for benefit sharing, ensuring that benefits reach beneficiaries in a timely manner while minimizing costs. </w:t>
      </w:r>
    </w:p>
    <w:p w14:paraId="1F611D95" w14:textId="3E083FDD" w:rsidR="00BB2C44" w:rsidRDefault="00BB2C44" w:rsidP="00BB2C44">
      <w:pPr>
        <w:spacing w:before="120" w:after="120" w:line="336" w:lineRule="auto"/>
        <w:rPr>
          <w:rFonts w:ascii="Avenir Next" w:eastAsia="Montserrat" w:hAnsi="Avenir Next" w:cs="Montserrat"/>
          <w:color w:val="000000"/>
          <w:sz w:val="20"/>
          <w:szCs w:val="20"/>
        </w:rPr>
      </w:pPr>
      <w:r w:rsidRPr="00BB2C44">
        <w:rPr>
          <w:rFonts w:ascii="Avenir Next" w:eastAsia="Montserrat" w:hAnsi="Avenir Next" w:cs="Montserrat"/>
          <w:color w:val="000000"/>
          <w:sz w:val="20"/>
          <w:szCs w:val="20"/>
        </w:rPr>
        <w:t>In addition, according to international best practices</w:t>
      </w:r>
      <w:r w:rsidR="00EF503F">
        <w:rPr>
          <w:rStyle w:val="FootnoteReference"/>
          <w:rFonts w:ascii="Avenir Next" w:eastAsia="Montserrat" w:hAnsi="Avenir Next" w:cs="Montserrat"/>
          <w:color w:val="000000"/>
          <w:sz w:val="20"/>
          <w:szCs w:val="20"/>
        </w:rPr>
        <w:footnoteReference w:id="4"/>
      </w:r>
      <w:r w:rsidR="00C90D89">
        <w:rPr>
          <w:rFonts w:ascii="Avenir Next" w:eastAsia="Montserrat" w:hAnsi="Avenir Next" w:cs="Montserrat"/>
          <w:color w:val="000000"/>
          <w:sz w:val="20"/>
          <w:szCs w:val="20"/>
        </w:rPr>
        <w:t>,</w:t>
      </w:r>
      <w:r w:rsidRPr="00BB2C44">
        <w:rPr>
          <w:rFonts w:ascii="Avenir Next" w:eastAsia="Montserrat" w:hAnsi="Avenir Next" w:cs="Montserrat"/>
          <w:color w:val="000000"/>
          <w:sz w:val="20"/>
          <w:szCs w:val="20"/>
        </w:rPr>
        <w:t xml:space="preserve"> a REDD+ revenue distribution plan or system should clearly encompass the following elements:</w:t>
      </w:r>
    </w:p>
    <w:p w14:paraId="27408AA3" w14:textId="1022F429" w:rsidR="00BB2C44" w:rsidRPr="00BB2C44" w:rsidRDefault="00BB2C44" w:rsidP="00BB2C44">
      <w:pPr>
        <w:pStyle w:val="ListParagraph"/>
        <w:numPr>
          <w:ilvl w:val="0"/>
          <w:numId w:val="1"/>
        </w:numPr>
        <w:spacing w:before="120" w:after="120" w:line="336" w:lineRule="auto"/>
        <w:rPr>
          <w:rFonts w:ascii="Avenir Next" w:hAnsi="Avenir Next"/>
          <w:sz w:val="20"/>
          <w:szCs w:val="20"/>
        </w:rPr>
      </w:pPr>
      <w:r w:rsidRPr="00BB2C44">
        <w:rPr>
          <w:rFonts w:ascii="Avenir Next" w:eastAsia="Montserrat" w:hAnsi="Avenir Next" w:cs="Montserrat"/>
          <w:i/>
          <w:iCs/>
          <w:color w:val="000000"/>
          <w:sz w:val="20"/>
          <w:szCs w:val="20"/>
        </w:rPr>
        <w:t>Beneficiaries</w:t>
      </w:r>
      <w:r w:rsidRPr="00BB2C44">
        <w:rPr>
          <w:rFonts w:ascii="Avenir Next" w:eastAsia="Montserrat" w:hAnsi="Avenir Next" w:cs="Montserrat"/>
          <w:color w:val="000000"/>
          <w:sz w:val="20"/>
          <w:szCs w:val="20"/>
        </w:rPr>
        <w:t>. Beneficiaries are understood as a group of stakeholders (people involved in or affected by REDD+ Program implementation) to receive monetary and/or non-monetary incentives resulting from the REDD+ Program. Beneficiaries may include but are not limited to, communities, civil society, and the private sector, including any nested REDD+ projects. Governments, as Program Entities and parties to the ERPA, may be considered beneficiaries, and retain a certain amount of ERPA Payments to cover their costs for implementing and/or managing the REDD+ Program or to create the enabling conditions to achieve the REDD+ results</w:t>
      </w:r>
      <w:r>
        <w:rPr>
          <w:rFonts w:ascii="Avenir Next" w:eastAsia="Montserrat" w:hAnsi="Avenir Next" w:cs="Montserrat"/>
          <w:color w:val="000000"/>
          <w:sz w:val="20"/>
          <w:szCs w:val="20"/>
        </w:rPr>
        <w:t>.</w:t>
      </w:r>
    </w:p>
    <w:p w14:paraId="4233E8E5" w14:textId="30C98542" w:rsidR="00BB2C44" w:rsidRPr="00BB2C44" w:rsidRDefault="00BB2C44" w:rsidP="00BB2C44">
      <w:pPr>
        <w:pStyle w:val="ListParagraph"/>
        <w:numPr>
          <w:ilvl w:val="0"/>
          <w:numId w:val="1"/>
        </w:numPr>
        <w:spacing w:before="120" w:after="120" w:line="336" w:lineRule="auto"/>
        <w:rPr>
          <w:rFonts w:ascii="Avenir Next" w:hAnsi="Avenir Next"/>
          <w:sz w:val="20"/>
          <w:szCs w:val="20"/>
        </w:rPr>
      </w:pPr>
      <w:r w:rsidRPr="00BB2C44">
        <w:rPr>
          <w:rFonts w:ascii="Avenir Next" w:eastAsia="Montserrat" w:hAnsi="Avenir Next" w:cs="Montserrat"/>
          <w:i/>
          <w:iCs/>
          <w:color w:val="000000"/>
          <w:sz w:val="20"/>
          <w:szCs w:val="20"/>
        </w:rPr>
        <w:t>Incentives.</w:t>
      </w:r>
      <w:r w:rsidRPr="00BB2C44">
        <w:rPr>
          <w:rFonts w:ascii="Avenir Next" w:eastAsia="Montserrat" w:hAnsi="Avenir Next" w:cs="Montserrat"/>
          <w:color w:val="000000"/>
          <w:sz w:val="20"/>
          <w:szCs w:val="20"/>
        </w:rPr>
        <w:t xml:space="preserve"> The plan should outline the types of incentives that are expected to be offered in correlation to the relevant REDD+ actions, which include monetary and/or non-monetary incentives</w:t>
      </w:r>
      <w:r w:rsidR="00EE744F">
        <w:rPr>
          <w:rStyle w:val="FootnoteReference"/>
          <w:rFonts w:ascii="Avenir Next" w:eastAsia="Montserrat" w:hAnsi="Avenir Next" w:cs="Montserrat"/>
          <w:color w:val="000000"/>
          <w:sz w:val="20"/>
          <w:szCs w:val="20"/>
        </w:rPr>
        <w:footnoteReference w:id="5"/>
      </w:r>
      <w:r w:rsidRPr="00BB2C44">
        <w:rPr>
          <w:rFonts w:ascii="Avenir Next" w:eastAsia="Montserrat" w:hAnsi="Avenir Next" w:cs="Montserrat"/>
          <w:color w:val="000000"/>
          <w:sz w:val="20"/>
          <w:szCs w:val="20"/>
        </w:rPr>
        <w:t>.</w:t>
      </w:r>
    </w:p>
    <w:p w14:paraId="06C269C0" w14:textId="77777777" w:rsidR="00BB2C44" w:rsidRPr="00BB2C44" w:rsidRDefault="00BB2C44" w:rsidP="00BB2C44">
      <w:pPr>
        <w:pStyle w:val="ListParagraph"/>
        <w:numPr>
          <w:ilvl w:val="0"/>
          <w:numId w:val="1"/>
        </w:numPr>
        <w:spacing w:before="120" w:after="120" w:line="336" w:lineRule="auto"/>
        <w:rPr>
          <w:rFonts w:ascii="Avenir Next" w:hAnsi="Avenir Next"/>
          <w:sz w:val="20"/>
          <w:szCs w:val="20"/>
        </w:rPr>
      </w:pPr>
      <w:r w:rsidRPr="00BB2C44">
        <w:rPr>
          <w:rFonts w:ascii="Avenir Next" w:eastAsia="Montserrat" w:hAnsi="Avenir Next" w:cs="Montserrat"/>
          <w:i/>
          <w:iCs/>
          <w:color w:val="000000"/>
          <w:sz w:val="20"/>
          <w:szCs w:val="20"/>
        </w:rPr>
        <w:t xml:space="preserve">The mechanism or process for the distribution of incentives. </w:t>
      </w:r>
      <w:r w:rsidRPr="00BB2C44">
        <w:rPr>
          <w:rFonts w:ascii="Avenir Next" w:eastAsia="Montserrat" w:hAnsi="Avenir Next" w:cs="Montserrat"/>
          <w:color w:val="000000"/>
          <w:sz w:val="20"/>
          <w:szCs w:val="20"/>
        </w:rPr>
        <w:t>The plan should outline the way in which monetary and non-monetary incentives are to be shared with beneficiaries, including both their proportion and the mechanism used.</w:t>
      </w:r>
    </w:p>
    <w:p w14:paraId="31FBDF09" w14:textId="77777777" w:rsidR="00BB2C44" w:rsidRPr="00BB2C44" w:rsidRDefault="00BB2C44" w:rsidP="00BB2C44">
      <w:pPr>
        <w:pStyle w:val="ListParagraph"/>
        <w:numPr>
          <w:ilvl w:val="0"/>
          <w:numId w:val="1"/>
        </w:numPr>
        <w:spacing w:before="120" w:after="120" w:line="336" w:lineRule="auto"/>
        <w:rPr>
          <w:rFonts w:ascii="Avenir Next" w:hAnsi="Avenir Next"/>
          <w:sz w:val="20"/>
          <w:szCs w:val="20"/>
        </w:rPr>
      </w:pPr>
      <w:r w:rsidRPr="00BB2C44">
        <w:rPr>
          <w:rFonts w:ascii="Avenir Next" w:eastAsia="Montserrat" w:hAnsi="Avenir Next" w:cs="Montserrat"/>
          <w:i/>
          <w:iCs/>
          <w:color w:val="000000"/>
          <w:sz w:val="20"/>
          <w:szCs w:val="20"/>
        </w:rPr>
        <w:t>The necessary institutional arrangements.</w:t>
      </w:r>
      <w:r w:rsidRPr="00BB2C44">
        <w:rPr>
          <w:rFonts w:ascii="Avenir Next" w:eastAsia="Montserrat" w:hAnsi="Avenir Next" w:cs="Montserrat"/>
          <w:color w:val="000000"/>
          <w:sz w:val="20"/>
          <w:szCs w:val="20"/>
        </w:rPr>
        <w:t xml:space="preserve"> The plan should also specify the institution(s) responsible for the revenue distribution plan or system.</w:t>
      </w:r>
    </w:p>
    <w:p w14:paraId="0A147FAF" w14:textId="71465370" w:rsidR="00A8483E" w:rsidRPr="00BB2C44" w:rsidRDefault="00BB2C44" w:rsidP="00BB2C44">
      <w:pPr>
        <w:pStyle w:val="ListParagraph"/>
        <w:numPr>
          <w:ilvl w:val="0"/>
          <w:numId w:val="1"/>
        </w:numPr>
        <w:spacing w:before="120" w:after="120" w:line="336" w:lineRule="auto"/>
        <w:rPr>
          <w:rFonts w:ascii="Avenir Next" w:hAnsi="Avenir Next"/>
          <w:sz w:val="20"/>
          <w:szCs w:val="20"/>
        </w:rPr>
      </w:pPr>
      <w:r w:rsidRPr="00BB2C44">
        <w:rPr>
          <w:rFonts w:ascii="Avenir Next" w:eastAsia="Montserrat" w:hAnsi="Avenir Next" w:cs="Montserrat"/>
          <w:i/>
          <w:iCs/>
          <w:color w:val="000000"/>
          <w:sz w:val="20"/>
          <w:szCs w:val="20"/>
        </w:rPr>
        <w:t>The monitoring provisio</w:t>
      </w:r>
      <w:r w:rsidRPr="00BB2C44">
        <w:rPr>
          <w:rFonts w:ascii="Avenir Next" w:eastAsia="Montserrat" w:hAnsi="Avenir Next" w:cs="Montserrat"/>
          <w:color w:val="000000"/>
          <w:sz w:val="20"/>
          <w:szCs w:val="20"/>
        </w:rPr>
        <w:t>ns. Finally, the revenue distribution plan or system should describe the monitoring provisions to ensure its correct implementation.</w:t>
      </w:r>
    </w:p>
    <w:p w14:paraId="1522C8DC" w14:textId="77777777" w:rsidR="00A8483E" w:rsidRPr="00BB2C44" w:rsidRDefault="00000000">
      <w:pPr>
        <w:spacing w:before="120" w:after="120" w:line="336" w:lineRule="auto"/>
        <w:rPr>
          <w:rFonts w:ascii="Avenir Next" w:hAnsi="Avenir Next"/>
          <w:sz w:val="20"/>
          <w:szCs w:val="20"/>
        </w:rPr>
      </w:pPr>
      <w:r w:rsidRPr="00BB2C44">
        <w:rPr>
          <w:rFonts w:ascii="Avenir Next" w:eastAsia="Montserrat" w:hAnsi="Avenir Next" w:cs="Montserrat"/>
          <w:color w:val="000000"/>
          <w:sz w:val="20"/>
          <w:szCs w:val="20"/>
        </w:rPr>
        <w:t xml:space="preserve">This tool is therefore intended to help J-REDD+ programs better understand: </w:t>
      </w:r>
    </w:p>
    <w:p w14:paraId="7280557E" w14:textId="4EFABC14" w:rsidR="00A8483E" w:rsidRPr="00BB2C44" w:rsidRDefault="00000000">
      <w:pPr>
        <w:numPr>
          <w:ilvl w:val="0"/>
          <w:numId w:val="2"/>
        </w:numPr>
        <w:spacing w:line="336" w:lineRule="auto"/>
        <w:rPr>
          <w:rFonts w:ascii="Avenir Next" w:hAnsi="Avenir Next"/>
          <w:sz w:val="20"/>
          <w:szCs w:val="20"/>
        </w:rPr>
      </w:pPr>
      <w:r w:rsidRPr="00BB2C44">
        <w:rPr>
          <w:rFonts w:ascii="Avenir Next" w:eastAsia="Montserrat" w:hAnsi="Avenir Next" w:cs="Montserrat"/>
          <w:color w:val="000000"/>
          <w:sz w:val="20"/>
          <w:szCs w:val="20"/>
        </w:rPr>
        <w:t xml:space="preserve">The </w:t>
      </w:r>
      <w:r w:rsidR="00BB2C44">
        <w:rPr>
          <w:rFonts w:ascii="Avenir Next" w:eastAsia="Montserrat" w:hAnsi="Avenir Next" w:cs="Montserrat"/>
          <w:color w:val="000000"/>
          <w:sz w:val="20"/>
          <w:szCs w:val="20"/>
        </w:rPr>
        <w:t>level of alignment of their REDD+ revenue distribution plan or system with international best practices;</w:t>
      </w:r>
    </w:p>
    <w:p w14:paraId="405CBE1B" w14:textId="45145D9A" w:rsidR="00A8483E" w:rsidRPr="00EF503F" w:rsidRDefault="00BB2C44">
      <w:pPr>
        <w:numPr>
          <w:ilvl w:val="0"/>
          <w:numId w:val="2"/>
        </w:numPr>
        <w:spacing w:line="336" w:lineRule="auto"/>
        <w:rPr>
          <w:rFonts w:ascii="Avenir Next" w:hAnsi="Avenir Next"/>
          <w:sz w:val="20"/>
          <w:szCs w:val="20"/>
        </w:rPr>
      </w:pPr>
      <w:r>
        <w:rPr>
          <w:rFonts w:ascii="Avenir Next" w:eastAsia="Montserrat" w:hAnsi="Avenir Next" w:cs="Montserrat"/>
          <w:color w:val="000000"/>
          <w:sz w:val="20"/>
          <w:szCs w:val="20"/>
        </w:rPr>
        <w:t>Identify any gaps, weakness</w:t>
      </w:r>
      <w:r w:rsidR="00C90D89">
        <w:rPr>
          <w:rFonts w:ascii="Avenir Next" w:eastAsia="Montserrat" w:hAnsi="Avenir Next" w:cs="Montserrat"/>
          <w:color w:val="000000"/>
          <w:sz w:val="20"/>
          <w:szCs w:val="20"/>
        </w:rPr>
        <w:t>es</w:t>
      </w:r>
      <w:r>
        <w:rPr>
          <w:rFonts w:ascii="Avenir Next" w:eastAsia="Montserrat" w:hAnsi="Avenir Next" w:cs="Montserrat"/>
          <w:color w:val="000000"/>
          <w:sz w:val="20"/>
          <w:szCs w:val="20"/>
        </w:rPr>
        <w:t xml:space="preserve"> and/or possible inconsistencies in these arrangements, and identify recommendations to address these.</w:t>
      </w:r>
      <w:r w:rsidRPr="00BB2C44">
        <w:rPr>
          <w:rFonts w:ascii="Avenir Next" w:eastAsia="Montserrat" w:hAnsi="Avenir Next" w:cs="Montserrat"/>
          <w:color w:val="000000"/>
          <w:sz w:val="20"/>
          <w:szCs w:val="20"/>
        </w:rPr>
        <w:t xml:space="preserve"> </w:t>
      </w:r>
    </w:p>
    <w:p w14:paraId="06059A58" w14:textId="77777777" w:rsidR="00EF503F" w:rsidRPr="00BB2C44" w:rsidRDefault="00EF503F" w:rsidP="00EF503F">
      <w:pPr>
        <w:spacing w:line="336" w:lineRule="auto"/>
        <w:ind w:left="400"/>
        <w:rPr>
          <w:rFonts w:ascii="Avenir Next" w:hAnsi="Avenir Next"/>
          <w:sz w:val="20"/>
          <w:szCs w:val="20"/>
        </w:rPr>
      </w:pPr>
    </w:p>
    <w:p w14:paraId="40F5EAE6" w14:textId="77777777" w:rsidR="00A8483E" w:rsidRPr="00BB2C44" w:rsidRDefault="00000000">
      <w:pPr>
        <w:spacing w:before="120" w:after="120" w:line="336" w:lineRule="auto"/>
        <w:rPr>
          <w:rFonts w:ascii="Bodoni 72 Book" w:hAnsi="Bodoni 72 Book"/>
        </w:rPr>
      </w:pPr>
      <w:r w:rsidRPr="00BB2C44">
        <w:rPr>
          <w:rFonts w:ascii="Bodoni 72 Book" w:eastAsia="Prata" w:hAnsi="Bodoni 72 Book" w:cs="Prata"/>
          <w:color w:val="573B46"/>
          <w:sz w:val="64"/>
          <w:szCs w:val="64"/>
        </w:rPr>
        <w:lastRenderedPageBreak/>
        <w:t xml:space="preserve">How to use this tool? </w:t>
      </w:r>
    </w:p>
    <w:tbl>
      <w:tblPr>
        <w:tblW w:w="9030" w:type="dxa"/>
        <w:tblInd w:w="180"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000" w:firstRow="0" w:lastRow="0" w:firstColumn="0" w:lastColumn="0" w:noHBand="0" w:noVBand="0"/>
      </w:tblPr>
      <w:tblGrid>
        <w:gridCol w:w="9030"/>
      </w:tblGrid>
      <w:tr w:rsidR="00A8483E" w14:paraId="30611188" w14:textId="77777777">
        <w:tc>
          <w:tcPr>
            <w:tcW w:w="9030" w:type="dxa"/>
            <w:shd w:val="clear" w:color="auto" w:fill="573B46"/>
            <w:tcMar>
              <w:top w:w="180" w:type="dxa"/>
              <w:left w:w="180" w:type="dxa"/>
              <w:bottom w:w="180" w:type="dxa"/>
              <w:right w:w="180" w:type="dxa"/>
            </w:tcMar>
          </w:tcPr>
          <w:p w14:paraId="482A258C" w14:textId="77777777" w:rsidR="00BB2C44" w:rsidRDefault="00000000" w:rsidP="00BB2C44">
            <w:pPr>
              <w:spacing w:before="120" w:after="120" w:line="336" w:lineRule="auto"/>
              <w:rPr>
                <w:rFonts w:ascii="Avenir Next" w:eastAsia="IBM Plex Sans" w:hAnsi="Avenir Next" w:cs="IBM Plex Sans"/>
                <w:color w:val="FFFFFF"/>
                <w:sz w:val="20"/>
                <w:szCs w:val="20"/>
              </w:rPr>
            </w:pPr>
            <w:r w:rsidRPr="00BB2C44">
              <w:rPr>
                <w:rFonts w:ascii="Avenir Next" w:eastAsia="IBM Plex Sans" w:hAnsi="Avenir Next" w:cs="IBM Plex Sans"/>
                <w:color w:val="FFFFFF"/>
                <w:sz w:val="20"/>
                <w:szCs w:val="20"/>
              </w:rPr>
              <w:t xml:space="preserve">This tool is divided into two sections: </w:t>
            </w:r>
          </w:p>
          <w:p w14:paraId="25F54C2E" w14:textId="1C4E3577" w:rsidR="00BB2C44" w:rsidRDefault="00000000" w:rsidP="00BB2C44">
            <w:pPr>
              <w:pStyle w:val="ListParagraph"/>
              <w:numPr>
                <w:ilvl w:val="0"/>
                <w:numId w:val="12"/>
              </w:numPr>
              <w:spacing w:before="120" w:after="120" w:line="336" w:lineRule="auto"/>
              <w:rPr>
                <w:rFonts w:ascii="Avenir Next" w:eastAsia="IBM Plex Sans" w:hAnsi="Avenir Next" w:cs="IBM Plex Sans"/>
                <w:color w:val="FFFFFF"/>
                <w:sz w:val="20"/>
                <w:szCs w:val="20"/>
              </w:rPr>
            </w:pPr>
            <w:r w:rsidRPr="00BB2C44">
              <w:rPr>
                <w:rFonts w:ascii="Avenir Next" w:eastAsia="IBM Plex Sans Bold" w:hAnsi="Avenir Next" w:cs="IBM Plex Sans Bold"/>
                <w:b/>
                <w:bCs/>
                <w:color w:val="FFFFFF"/>
                <w:sz w:val="20"/>
                <w:szCs w:val="20"/>
              </w:rPr>
              <w:t>Section A:</w:t>
            </w:r>
            <w:r w:rsidRPr="00BB2C44">
              <w:rPr>
                <w:rFonts w:ascii="Avenir Next" w:eastAsia="IBM Plex Sans" w:hAnsi="Avenir Next" w:cs="IBM Plex Sans"/>
                <w:color w:val="FFFFFF"/>
                <w:sz w:val="20"/>
                <w:szCs w:val="20"/>
              </w:rPr>
              <w:t xml:space="preserve"> presents a questionnaire, which guides users through the technical qualitative assessment of the </w:t>
            </w:r>
            <w:r w:rsidR="00EE744F">
              <w:rPr>
                <w:rFonts w:ascii="Avenir Next" w:eastAsia="IBM Plex Sans" w:hAnsi="Avenir Next" w:cs="IBM Plex Sans"/>
                <w:color w:val="FFFFFF"/>
                <w:sz w:val="20"/>
                <w:szCs w:val="20"/>
              </w:rPr>
              <w:t>REDD+ revenue distribution plan or system; and</w:t>
            </w:r>
            <w:r w:rsidRPr="00BB2C44">
              <w:rPr>
                <w:rFonts w:ascii="Avenir Next" w:eastAsia="IBM Plex Sans" w:hAnsi="Avenir Next" w:cs="IBM Plex Sans"/>
                <w:color w:val="FFFFFF"/>
                <w:sz w:val="20"/>
                <w:szCs w:val="20"/>
              </w:rPr>
              <w:t xml:space="preserve"> </w:t>
            </w:r>
          </w:p>
          <w:p w14:paraId="1BEB63D1" w14:textId="7F65DA09" w:rsidR="00A8483E" w:rsidRPr="00BB2C44" w:rsidRDefault="00000000" w:rsidP="00BB2C44">
            <w:pPr>
              <w:pStyle w:val="ListParagraph"/>
              <w:numPr>
                <w:ilvl w:val="0"/>
                <w:numId w:val="12"/>
              </w:numPr>
              <w:spacing w:before="120" w:after="120" w:line="336" w:lineRule="auto"/>
              <w:rPr>
                <w:rFonts w:ascii="Avenir Next" w:eastAsia="IBM Plex Sans" w:hAnsi="Avenir Next" w:cs="IBM Plex Sans"/>
                <w:color w:val="FFFFFF"/>
                <w:sz w:val="20"/>
                <w:szCs w:val="20"/>
              </w:rPr>
            </w:pPr>
            <w:r w:rsidRPr="00BB2C44">
              <w:rPr>
                <w:rFonts w:ascii="Avenir Next" w:eastAsia="IBM Plex Sans Bold" w:hAnsi="Avenir Next" w:cs="IBM Plex Sans Bold"/>
                <w:b/>
                <w:bCs/>
                <w:color w:val="FFFFFF"/>
                <w:sz w:val="20"/>
                <w:szCs w:val="20"/>
              </w:rPr>
              <w:t>Section B</w:t>
            </w:r>
            <w:r w:rsidRPr="00BB2C44">
              <w:rPr>
                <w:rFonts w:ascii="Avenir Next" w:eastAsia="IBM Plex Sans" w:hAnsi="Avenir Next" w:cs="IBM Plex Sans"/>
                <w:color w:val="FFFFFF"/>
                <w:sz w:val="20"/>
                <w:szCs w:val="20"/>
              </w:rPr>
              <w:t>: presents a report template, that is to be completed based on the results from Section ‘A</w:t>
            </w:r>
            <w:proofErr w:type="gramStart"/>
            <w:r w:rsidRPr="00BB2C44">
              <w:rPr>
                <w:rFonts w:ascii="Avenir Next" w:eastAsia="IBM Plex Sans" w:hAnsi="Avenir Next" w:cs="IBM Plex Sans"/>
                <w:color w:val="FFFFFF"/>
                <w:sz w:val="20"/>
                <w:szCs w:val="20"/>
              </w:rPr>
              <w:t>’, and</w:t>
            </w:r>
            <w:proofErr w:type="gramEnd"/>
            <w:r w:rsidRPr="00BB2C44">
              <w:rPr>
                <w:rFonts w:ascii="Avenir Next" w:eastAsia="IBM Plex Sans" w:hAnsi="Avenir Next" w:cs="IBM Plex Sans"/>
                <w:color w:val="FFFFFF"/>
                <w:sz w:val="20"/>
                <w:szCs w:val="20"/>
              </w:rPr>
              <w:t xml:space="preserve"> will inform the development of</w:t>
            </w:r>
            <w:r w:rsidR="00EE744F">
              <w:rPr>
                <w:rFonts w:ascii="Avenir Next" w:eastAsia="IBM Plex Sans" w:hAnsi="Avenir Next" w:cs="IBM Plex Sans"/>
                <w:color w:val="FFFFFF"/>
                <w:sz w:val="20"/>
                <w:szCs w:val="20"/>
              </w:rPr>
              <w:t xml:space="preserve"> </w:t>
            </w:r>
            <w:r w:rsidRPr="00BB2C44">
              <w:rPr>
                <w:rFonts w:ascii="Avenir Next" w:eastAsia="IBM Plex Sans" w:hAnsi="Avenir Next" w:cs="IBM Plex Sans"/>
                <w:color w:val="FFFFFF"/>
                <w:sz w:val="20"/>
                <w:szCs w:val="20"/>
              </w:rPr>
              <w:t>the J-REDD+ roadmap (Tool 8).</w:t>
            </w:r>
            <w:r w:rsidRPr="00BB2C44">
              <w:rPr>
                <w:rFonts w:ascii="IBM Plex Sans" w:eastAsia="IBM Plex Sans" w:hAnsi="IBM Plex Sans" w:cs="IBM Plex Sans"/>
                <w:color w:val="FFFFFF"/>
                <w:sz w:val="22"/>
                <w:szCs w:val="22"/>
              </w:rPr>
              <w:t xml:space="preserve"> </w:t>
            </w:r>
          </w:p>
        </w:tc>
      </w:tr>
    </w:tbl>
    <w:p w14:paraId="3148DD8E" w14:textId="77777777" w:rsidR="00BB2C44" w:rsidRDefault="00BB2C44">
      <w:pPr>
        <w:spacing w:before="120" w:after="120" w:line="336" w:lineRule="auto"/>
        <w:rPr>
          <w:rFonts w:ascii="Montserrat" w:eastAsia="Montserrat" w:hAnsi="Montserrat" w:cs="Montserrat"/>
          <w:color w:val="000000"/>
          <w:sz w:val="64"/>
          <w:szCs w:val="64"/>
        </w:rPr>
      </w:pPr>
    </w:p>
    <w:p w14:paraId="660FDD0E" w14:textId="77777777" w:rsidR="00BB2C44" w:rsidRDefault="00BB2C44">
      <w:pPr>
        <w:spacing w:before="120" w:after="120" w:line="336" w:lineRule="auto"/>
        <w:rPr>
          <w:rFonts w:ascii="Montserrat" w:eastAsia="Montserrat" w:hAnsi="Montserrat" w:cs="Montserrat"/>
          <w:color w:val="000000"/>
          <w:sz w:val="64"/>
          <w:szCs w:val="64"/>
        </w:rPr>
      </w:pPr>
    </w:p>
    <w:p w14:paraId="71ABB926" w14:textId="77777777" w:rsidR="00EE744F" w:rsidRDefault="00EE744F">
      <w:pPr>
        <w:spacing w:before="120" w:after="120" w:line="336" w:lineRule="auto"/>
        <w:rPr>
          <w:rFonts w:ascii="Montserrat" w:eastAsia="Montserrat" w:hAnsi="Montserrat" w:cs="Montserrat"/>
          <w:color w:val="000000"/>
          <w:sz w:val="64"/>
          <w:szCs w:val="64"/>
        </w:rPr>
      </w:pPr>
    </w:p>
    <w:p w14:paraId="44AD4073" w14:textId="77777777" w:rsidR="00EE744F" w:rsidRDefault="00EE744F">
      <w:pPr>
        <w:spacing w:before="120" w:after="120" w:line="336" w:lineRule="auto"/>
        <w:rPr>
          <w:rFonts w:ascii="Montserrat" w:eastAsia="Montserrat" w:hAnsi="Montserrat" w:cs="Montserrat"/>
          <w:color w:val="000000"/>
          <w:sz w:val="64"/>
          <w:szCs w:val="64"/>
        </w:rPr>
      </w:pPr>
    </w:p>
    <w:p w14:paraId="7DB71FC0" w14:textId="77777777" w:rsidR="00EE744F" w:rsidRDefault="00EE744F">
      <w:pPr>
        <w:spacing w:before="120" w:after="120" w:line="336" w:lineRule="auto"/>
        <w:rPr>
          <w:rFonts w:ascii="Montserrat" w:eastAsia="Montserrat" w:hAnsi="Montserrat" w:cs="Montserrat"/>
          <w:color w:val="000000"/>
          <w:sz w:val="64"/>
          <w:szCs w:val="64"/>
        </w:rPr>
      </w:pPr>
    </w:p>
    <w:p w14:paraId="36099602" w14:textId="77777777" w:rsidR="00EE744F" w:rsidRDefault="00EE744F">
      <w:pPr>
        <w:spacing w:before="120" w:after="120" w:line="336" w:lineRule="auto"/>
        <w:rPr>
          <w:rFonts w:ascii="Montserrat" w:eastAsia="Montserrat" w:hAnsi="Montserrat" w:cs="Montserrat"/>
          <w:color w:val="000000"/>
          <w:sz w:val="64"/>
          <w:szCs w:val="64"/>
        </w:rPr>
      </w:pPr>
    </w:p>
    <w:p w14:paraId="4E8A1812" w14:textId="77777777" w:rsidR="00EE744F" w:rsidRDefault="00EE744F">
      <w:pPr>
        <w:spacing w:before="120" w:after="120" w:line="336" w:lineRule="auto"/>
        <w:rPr>
          <w:rFonts w:ascii="Montserrat" w:eastAsia="Montserrat" w:hAnsi="Montserrat" w:cs="Montserrat"/>
          <w:color w:val="000000"/>
          <w:sz w:val="64"/>
          <w:szCs w:val="64"/>
        </w:rPr>
      </w:pPr>
    </w:p>
    <w:p w14:paraId="4554C769" w14:textId="77777777" w:rsidR="00EE744F" w:rsidRDefault="00EE744F">
      <w:pPr>
        <w:spacing w:before="120" w:after="120" w:line="336" w:lineRule="auto"/>
        <w:rPr>
          <w:rFonts w:ascii="Montserrat" w:eastAsia="Montserrat" w:hAnsi="Montserrat" w:cs="Montserrat"/>
          <w:color w:val="000000"/>
          <w:sz w:val="64"/>
          <w:szCs w:val="64"/>
        </w:rPr>
      </w:pPr>
    </w:p>
    <w:p w14:paraId="36DC11D2" w14:textId="77777777" w:rsidR="00BB2C44" w:rsidRPr="00BB2C44" w:rsidRDefault="00BB2C44" w:rsidP="00BB2C44">
      <w:pPr>
        <w:spacing w:before="120" w:after="120" w:line="336" w:lineRule="auto"/>
        <w:rPr>
          <w:rFonts w:ascii="Bodoni 72 Book" w:hAnsi="Bodoni 72 Book"/>
          <w:color w:val="573B46"/>
        </w:rPr>
      </w:pPr>
      <w:r w:rsidRPr="00BB2C44">
        <w:rPr>
          <w:rFonts w:ascii="Bodoni 72 Book" w:eastAsia="Montserrat" w:hAnsi="Bodoni 72 Book" w:cs="Montserrat"/>
          <w:color w:val="573B46"/>
          <w:sz w:val="64"/>
          <w:szCs w:val="64"/>
        </w:rPr>
        <w:lastRenderedPageBreak/>
        <w:t xml:space="preserve">Section A - Questionnaire </w:t>
      </w:r>
    </w:p>
    <w:p w14:paraId="33A474DD" w14:textId="72983644" w:rsidR="00BB2C44" w:rsidRPr="00031D7C" w:rsidRDefault="00BB2C44" w:rsidP="00BB2C44">
      <w:pPr>
        <w:spacing w:before="120" w:after="120" w:line="336" w:lineRule="auto"/>
        <w:rPr>
          <w:rFonts w:ascii="Avenir Next" w:hAnsi="Avenir Next"/>
          <w:sz w:val="20"/>
          <w:szCs w:val="20"/>
        </w:rPr>
      </w:pPr>
      <w:r w:rsidRPr="00031D7C">
        <w:rPr>
          <w:rFonts w:ascii="Avenir Next" w:eastAsia="IBM Plex Sans" w:hAnsi="Avenir Next" w:cs="IBM Plex Sans"/>
          <w:color w:val="000000"/>
          <w:sz w:val="20"/>
          <w:szCs w:val="20"/>
        </w:rPr>
        <w:t xml:space="preserve">The questionnaire is structured in different </w:t>
      </w:r>
      <w:r w:rsidR="00EE744F">
        <w:rPr>
          <w:rFonts w:ascii="Avenir Next" w:eastAsia="IBM Plex Sans" w:hAnsi="Avenir Next" w:cs="IBM Plex Sans"/>
          <w:color w:val="000000"/>
          <w:sz w:val="20"/>
          <w:szCs w:val="20"/>
        </w:rPr>
        <w:t>categories</w:t>
      </w:r>
      <w:r w:rsidRPr="00031D7C">
        <w:rPr>
          <w:rFonts w:ascii="Avenir Next" w:eastAsia="IBM Plex Sans" w:hAnsi="Avenir Next" w:cs="IBM Plex Sans"/>
          <w:color w:val="000000"/>
          <w:sz w:val="20"/>
          <w:szCs w:val="20"/>
        </w:rPr>
        <w:t xml:space="preserve">, which correlate with </w:t>
      </w:r>
      <w:r w:rsidR="00EE744F">
        <w:rPr>
          <w:rFonts w:ascii="Avenir Next" w:eastAsia="IBM Plex Sans" w:hAnsi="Avenir Next" w:cs="IBM Plex Sans"/>
          <w:color w:val="000000"/>
          <w:sz w:val="20"/>
          <w:szCs w:val="20"/>
        </w:rPr>
        <w:t xml:space="preserve">international </w:t>
      </w:r>
      <w:r w:rsidRPr="00031D7C">
        <w:rPr>
          <w:rFonts w:ascii="Avenir Next" w:eastAsia="IBM Plex Sans" w:hAnsi="Avenir Next" w:cs="IBM Plex Sans"/>
          <w:color w:val="000000"/>
          <w:sz w:val="20"/>
          <w:szCs w:val="20"/>
        </w:rPr>
        <w:t xml:space="preserve">best practices. </w:t>
      </w:r>
    </w:p>
    <w:p w14:paraId="47241861" w14:textId="77777777" w:rsidR="00BB2C44" w:rsidRPr="00031D7C" w:rsidRDefault="00BB2C44" w:rsidP="00BB2C44">
      <w:pPr>
        <w:spacing w:before="120" w:after="120" w:line="336" w:lineRule="auto"/>
        <w:rPr>
          <w:rFonts w:ascii="Avenir Next" w:hAnsi="Avenir Next"/>
          <w:sz w:val="20"/>
          <w:szCs w:val="20"/>
        </w:rPr>
      </w:pPr>
      <w:r w:rsidRPr="00031D7C">
        <w:rPr>
          <w:rFonts w:ascii="Avenir Next" w:eastAsia="IBM Plex Sans" w:hAnsi="Avenir Next" w:cs="IBM Plex Sans"/>
          <w:color w:val="000000"/>
          <w:sz w:val="20"/>
          <w:szCs w:val="20"/>
        </w:rPr>
        <w:t xml:space="preserve">To complete this questionnaire users should consider the scope of each column as follows:  </w:t>
      </w:r>
    </w:p>
    <w:p w14:paraId="4EC80FC3" w14:textId="1AE63FA9" w:rsidR="00BB2C44" w:rsidRPr="00031D7C" w:rsidRDefault="00BB2C44" w:rsidP="00BB2C44">
      <w:pPr>
        <w:numPr>
          <w:ilvl w:val="0"/>
          <w:numId w:val="13"/>
        </w:numPr>
        <w:spacing w:line="336" w:lineRule="auto"/>
        <w:rPr>
          <w:rFonts w:ascii="Avenir Next" w:hAnsi="Avenir Next"/>
          <w:sz w:val="20"/>
          <w:szCs w:val="20"/>
        </w:rPr>
      </w:pPr>
      <w:r w:rsidRPr="00031D7C">
        <w:rPr>
          <w:rFonts w:ascii="Avenir Next" w:eastAsia="IBM Plex Sans" w:hAnsi="Avenir Next" w:cs="IBM Plex Sans"/>
          <w:color w:val="000000"/>
          <w:sz w:val="20"/>
          <w:szCs w:val="20"/>
        </w:rPr>
        <w:t xml:space="preserve"> </w:t>
      </w:r>
      <w:r w:rsidRPr="00031D7C">
        <w:rPr>
          <w:rFonts w:ascii="Avenir Next" w:eastAsia="IBM Plex Sans" w:hAnsi="Avenir Next" w:cs="IBM Plex Sans"/>
          <w:color w:val="000000"/>
          <w:sz w:val="20"/>
          <w:szCs w:val="20"/>
          <w:u w:val="single" w:color="000000"/>
        </w:rPr>
        <w:t>Questions</w:t>
      </w:r>
      <w:r w:rsidRPr="00031D7C">
        <w:rPr>
          <w:rFonts w:ascii="Avenir Next" w:eastAsia="IBM Plex Sans" w:hAnsi="Avenir Next" w:cs="IBM Plex Sans"/>
          <w:color w:val="000000"/>
          <w:sz w:val="20"/>
          <w:szCs w:val="20"/>
        </w:rPr>
        <w:t xml:space="preserve">: presents guiding questions for the users. Note that use of </w:t>
      </w:r>
      <w:r w:rsidR="00C90D89">
        <w:rPr>
          <w:rFonts w:ascii="Avenir Next" w:eastAsia="IBM Plex Sans" w:hAnsi="Avenir Next" w:cs="IBM Plex Sans"/>
          <w:color w:val="000000"/>
          <w:sz w:val="20"/>
          <w:szCs w:val="20"/>
        </w:rPr>
        <w:t xml:space="preserve">the </w:t>
      </w:r>
      <w:r w:rsidRPr="00031D7C">
        <w:rPr>
          <w:rFonts w:ascii="Avenir Next" w:eastAsia="IBM Plex Sans" w:hAnsi="Avenir Next" w:cs="IBM Plex Sans"/>
          <w:color w:val="000000"/>
          <w:sz w:val="20"/>
          <w:szCs w:val="20"/>
        </w:rPr>
        <w:t xml:space="preserve">term ‘equivalent’ refers to a sub-national ‘reporting system’. </w:t>
      </w:r>
    </w:p>
    <w:p w14:paraId="6C119377" w14:textId="77777777" w:rsidR="00BB2C44" w:rsidRPr="00031D7C" w:rsidRDefault="00BB2C44" w:rsidP="00BB2C44">
      <w:pPr>
        <w:numPr>
          <w:ilvl w:val="0"/>
          <w:numId w:val="13"/>
        </w:numPr>
        <w:spacing w:line="336" w:lineRule="auto"/>
        <w:rPr>
          <w:rFonts w:ascii="Avenir Next" w:hAnsi="Avenir Next"/>
          <w:sz w:val="20"/>
          <w:szCs w:val="20"/>
        </w:rPr>
      </w:pPr>
      <w:r w:rsidRPr="00031D7C">
        <w:rPr>
          <w:rFonts w:ascii="Avenir Next" w:eastAsia="IBM Plex Sans" w:hAnsi="Avenir Next" w:cs="IBM Plex Sans"/>
          <w:color w:val="000000"/>
          <w:sz w:val="20"/>
          <w:szCs w:val="20"/>
          <w:u w:val="single" w:color="000000"/>
        </w:rPr>
        <w:t>Scoring:</w:t>
      </w:r>
      <w:r w:rsidRPr="00031D7C">
        <w:rPr>
          <w:rFonts w:ascii="Avenir Next" w:eastAsia="IBM Plex Sans" w:hAnsi="Avenir Next" w:cs="IBM Plex Sans"/>
          <w:color w:val="000000"/>
          <w:sz w:val="20"/>
          <w:szCs w:val="20"/>
        </w:rPr>
        <w:t xml:space="preserve"> the following scoring guide should be applied by users: </w:t>
      </w:r>
    </w:p>
    <w:p w14:paraId="79531E15" w14:textId="3957C04D" w:rsidR="00BB2C44" w:rsidRPr="00031D7C" w:rsidRDefault="00BB2C44" w:rsidP="00BB2C44">
      <w:pPr>
        <w:numPr>
          <w:ilvl w:val="1"/>
          <w:numId w:val="13"/>
        </w:numPr>
        <w:spacing w:line="336" w:lineRule="auto"/>
        <w:rPr>
          <w:rFonts w:ascii="Avenir Next" w:hAnsi="Avenir Next"/>
          <w:sz w:val="20"/>
          <w:szCs w:val="20"/>
        </w:rPr>
      </w:pPr>
      <w:r w:rsidRPr="00031D7C">
        <w:rPr>
          <w:rFonts w:ascii="Avenir Next" w:hAnsi="Avenir Next"/>
          <w:noProof/>
          <w:sz w:val="20"/>
          <w:szCs w:val="20"/>
        </w:rPr>
        <w:drawing>
          <wp:anchor distT="0" distB="0" distL="114300" distR="114300" simplePos="0" relativeHeight="251661312" behindDoc="1" locked="0" layoutInCell="1" allowOverlap="1" wp14:anchorId="0BC2E2DD" wp14:editId="65B4C2D5">
            <wp:simplePos x="0" y="0"/>
            <wp:positionH relativeFrom="column">
              <wp:posOffset>5014424</wp:posOffset>
            </wp:positionH>
            <wp:positionV relativeFrom="paragraph">
              <wp:posOffset>78105</wp:posOffset>
            </wp:positionV>
            <wp:extent cx="335915" cy="268605"/>
            <wp:effectExtent l="0" t="0" r="0" b="0"/>
            <wp:wrapSquare wrapText="bothSides"/>
            <wp:docPr id="26" name="Drawing 1" descr="f2129134-ddea-4724-8cc3-5f6403e83add.png"/>
            <wp:cNvGraphicFramePr/>
            <a:graphic xmlns:a="http://schemas.openxmlformats.org/drawingml/2006/main">
              <a:graphicData uri="http://schemas.openxmlformats.org/drawingml/2006/picture">
                <pic:pic xmlns:pic="http://schemas.openxmlformats.org/drawingml/2006/picture">
                  <pic:nvPicPr>
                    <pic:cNvPr id="0" name="Picture 1" descr="f2129134-ddea-4724-8cc3-5f6403e83add.png"/>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5915" cy="268605"/>
                    </a:xfrm>
                    <a:prstGeom prst="rect">
                      <a:avLst/>
                    </a:prstGeom>
                  </pic:spPr>
                </pic:pic>
              </a:graphicData>
            </a:graphic>
            <wp14:sizeRelH relativeFrom="page">
              <wp14:pctWidth>0</wp14:pctWidth>
            </wp14:sizeRelH>
            <wp14:sizeRelV relativeFrom="page">
              <wp14:pctHeight>0</wp14:pctHeight>
            </wp14:sizeRelV>
          </wp:anchor>
        </w:drawing>
      </w:r>
      <w:r w:rsidRPr="00031D7C">
        <w:rPr>
          <w:rFonts w:ascii="Avenir Next" w:eastAsia="IBM Plex Sans Bold" w:hAnsi="Avenir Next" w:cs="IBM Plex Sans Bold"/>
          <w:b/>
          <w:bCs/>
          <w:color w:val="000000"/>
          <w:sz w:val="20"/>
          <w:szCs w:val="20"/>
        </w:rPr>
        <w:t>Yes:</w:t>
      </w:r>
      <w:r w:rsidRPr="00031D7C">
        <w:rPr>
          <w:rFonts w:ascii="Avenir Next" w:eastAsia="IBM Plex Sans" w:hAnsi="Avenir Next" w:cs="IBM Plex Sans"/>
          <w:color w:val="000000"/>
          <w:sz w:val="20"/>
          <w:szCs w:val="20"/>
        </w:rPr>
        <w:t xml:space="preserve"> </w:t>
      </w:r>
      <w:r w:rsidR="00EE744F">
        <w:rPr>
          <w:rFonts w:ascii="Avenir Next" w:eastAsia="IBM Plex Sans" w:hAnsi="Avenir Next" w:cs="IBM Plex Sans"/>
          <w:color w:val="000000"/>
          <w:sz w:val="20"/>
          <w:szCs w:val="20"/>
        </w:rPr>
        <w:t xml:space="preserve">REDD+ revenue distribution plan or system incorporates this aspect </w:t>
      </w:r>
      <w:proofErr w:type="gramStart"/>
      <w:r w:rsidR="00EE744F">
        <w:rPr>
          <w:rFonts w:ascii="Avenir Next" w:eastAsia="IBM Plex Sans" w:hAnsi="Avenir Next" w:cs="IBM Plex Sans"/>
          <w:color w:val="000000"/>
          <w:sz w:val="20"/>
          <w:szCs w:val="20"/>
        </w:rPr>
        <w:t>In</w:t>
      </w:r>
      <w:proofErr w:type="gramEnd"/>
      <w:r w:rsidR="00EE744F">
        <w:rPr>
          <w:rFonts w:ascii="Avenir Next" w:eastAsia="IBM Plex Sans" w:hAnsi="Avenir Next" w:cs="IBM Plex Sans"/>
          <w:color w:val="000000"/>
          <w:sz w:val="20"/>
          <w:szCs w:val="20"/>
        </w:rPr>
        <w:t xml:space="preserve"> conformance with best practices.</w:t>
      </w:r>
      <w:r w:rsidRPr="00031D7C">
        <w:rPr>
          <w:rFonts w:ascii="Avenir Next" w:eastAsia="IBM Plex Sans" w:hAnsi="Avenir Next" w:cs="IBM Plex Sans"/>
          <w:color w:val="000000"/>
          <w:sz w:val="20"/>
          <w:szCs w:val="20"/>
        </w:rPr>
        <w:t xml:space="preserve">  </w:t>
      </w:r>
    </w:p>
    <w:p w14:paraId="04B61461" w14:textId="39E9D7EA" w:rsidR="00BB2C44" w:rsidRPr="00031D7C" w:rsidRDefault="00BB2C44" w:rsidP="00BB2C44">
      <w:pPr>
        <w:numPr>
          <w:ilvl w:val="1"/>
          <w:numId w:val="13"/>
        </w:numPr>
        <w:spacing w:line="336" w:lineRule="auto"/>
        <w:rPr>
          <w:rFonts w:ascii="Avenir Next" w:hAnsi="Avenir Next"/>
          <w:sz w:val="20"/>
          <w:szCs w:val="20"/>
        </w:rPr>
      </w:pPr>
      <w:r w:rsidRPr="00031D7C">
        <w:rPr>
          <w:rFonts w:ascii="Avenir Next" w:eastAsia="IBM Plex Sans Bold" w:hAnsi="Avenir Next" w:cs="IBM Plex Sans Bold"/>
          <w:b/>
          <w:bCs/>
          <w:color w:val="000000"/>
          <w:sz w:val="20"/>
          <w:szCs w:val="20"/>
        </w:rPr>
        <w:t>Partially:</w:t>
      </w:r>
      <w:r w:rsidRPr="00031D7C">
        <w:rPr>
          <w:rFonts w:ascii="Avenir Next" w:eastAsia="IBM Plex Sans" w:hAnsi="Avenir Next" w:cs="IBM Plex Sans"/>
          <w:color w:val="000000"/>
          <w:sz w:val="20"/>
          <w:szCs w:val="20"/>
        </w:rPr>
        <w:t xml:space="preserve"> </w:t>
      </w:r>
      <w:r w:rsidR="00EE744F">
        <w:rPr>
          <w:rFonts w:ascii="Avenir Next" w:eastAsia="IBM Plex Sans" w:hAnsi="Avenir Next" w:cs="IBM Plex Sans"/>
          <w:color w:val="000000"/>
          <w:sz w:val="20"/>
          <w:szCs w:val="20"/>
        </w:rPr>
        <w:t>REDD+ revenue distribution plan or system partially incorporates this aspect in conformance with best practices. There are some gaps that need to be addressed</w:t>
      </w:r>
      <w:r w:rsidRPr="00031D7C">
        <w:rPr>
          <w:rFonts w:ascii="Avenir Next" w:eastAsia="IBM Plex Sans" w:hAnsi="Avenir Next" w:cs="IBM Plex Sans"/>
          <w:color w:val="000000"/>
          <w:sz w:val="20"/>
          <w:szCs w:val="20"/>
        </w:rPr>
        <w:t xml:space="preserve"> </w:t>
      </w:r>
    </w:p>
    <w:p w14:paraId="58386D62" w14:textId="0FFC9092" w:rsidR="00BB2C44" w:rsidRPr="00031D7C" w:rsidRDefault="00BB2C44" w:rsidP="00BB2C44">
      <w:pPr>
        <w:numPr>
          <w:ilvl w:val="1"/>
          <w:numId w:val="13"/>
        </w:numPr>
        <w:spacing w:line="336" w:lineRule="auto"/>
        <w:rPr>
          <w:rFonts w:ascii="Avenir Next" w:hAnsi="Avenir Next"/>
          <w:sz w:val="20"/>
          <w:szCs w:val="20"/>
        </w:rPr>
      </w:pPr>
      <w:r>
        <w:rPr>
          <w:noProof/>
        </w:rPr>
        <w:drawing>
          <wp:anchor distT="0" distB="0" distL="114300" distR="114300" simplePos="0" relativeHeight="251662336" behindDoc="0" locked="0" layoutInCell="1" allowOverlap="1" wp14:anchorId="04841491" wp14:editId="6FB20BA3">
            <wp:simplePos x="0" y="0"/>
            <wp:positionH relativeFrom="column">
              <wp:posOffset>5109883</wp:posOffset>
            </wp:positionH>
            <wp:positionV relativeFrom="paragraph">
              <wp:posOffset>169172</wp:posOffset>
            </wp:positionV>
            <wp:extent cx="322580" cy="281940"/>
            <wp:effectExtent l="0" t="0" r="0" b="0"/>
            <wp:wrapSquare wrapText="bothSides"/>
            <wp:docPr id="28" name="Drawing 2" descr="581de573-096f-4890-afa8-efcc489609f0.png"/>
            <wp:cNvGraphicFramePr/>
            <a:graphic xmlns:a="http://schemas.openxmlformats.org/drawingml/2006/main">
              <a:graphicData uri="http://schemas.openxmlformats.org/drawingml/2006/picture">
                <pic:pic xmlns:pic="http://schemas.openxmlformats.org/drawingml/2006/picture">
                  <pic:nvPicPr>
                    <pic:cNvPr id="0" name="Picture 2" descr="581de573-096f-4890-afa8-efcc489609f0.png"/>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2580" cy="281940"/>
                    </a:xfrm>
                    <a:prstGeom prst="rect">
                      <a:avLst/>
                    </a:prstGeom>
                  </pic:spPr>
                </pic:pic>
              </a:graphicData>
            </a:graphic>
            <wp14:sizeRelH relativeFrom="page">
              <wp14:pctWidth>0</wp14:pctWidth>
            </wp14:sizeRelH>
            <wp14:sizeRelV relativeFrom="page">
              <wp14:pctHeight>0</wp14:pctHeight>
            </wp14:sizeRelV>
          </wp:anchor>
        </w:drawing>
      </w:r>
      <w:r w:rsidRPr="00031D7C">
        <w:rPr>
          <w:rFonts w:ascii="Avenir Next" w:eastAsia="IBM Plex Sans" w:hAnsi="Avenir Next" w:cs="IBM Plex Sans"/>
          <w:color w:val="000000"/>
          <w:sz w:val="20"/>
          <w:szCs w:val="20"/>
        </w:rPr>
        <w:t xml:space="preserve"> </w:t>
      </w:r>
      <w:r w:rsidRPr="00031D7C">
        <w:rPr>
          <w:rFonts w:ascii="Avenir Next" w:eastAsia="IBM Plex Sans Bold" w:hAnsi="Avenir Next" w:cs="IBM Plex Sans Bold"/>
          <w:b/>
          <w:bCs/>
          <w:color w:val="000000"/>
          <w:sz w:val="20"/>
          <w:szCs w:val="20"/>
        </w:rPr>
        <w:t>No</w:t>
      </w:r>
      <w:r w:rsidRPr="00031D7C">
        <w:rPr>
          <w:rFonts w:ascii="Avenir Next" w:eastAsia="IBM Plex Sans" w:hAnsi="Avenir Next" w:cs="IBM Plex Sans"/>
          <w:color w:val="000000"/>
          <w:sz w:val="20"/>
          <w:szCs w:val="20"/>
        </w:rPr>
        <w:t xml:space="preserve">: </w:t>
      </w:r>
      <w:r w:rsidR="00EE744F">
        <w:rPr>
          <w:rFonts w:ascii="Avenir Next" w:eastAsia="IBM Plex Sans" w:hAnsi="Avenir Next" w:cs="IBM Plex Sans"/>
          <w:color w:val="000000"/>
          <w:sz w:val="20"/>
          <w:szCs w:val="20"/>
        </w:rPr>
        <w:t>REDD+ revenue distribution plan or system does not i</w:t>
      </w:r>
      <w:r w:rsidRPr="00031D7C">
        <w:rPr>
          <w:rFonts w:ascii="Avenir Next" w:eastAsia="IBM Plex Sans" w:hAnsi="Avenir Next" w:cs="IBM Plex Sans"/>
          <w:color w:val="000000"/>
          <w:sz w:val="20"/>
          <w:szCs w:val="20"/>
        </w:rPr>
        <w:t xml:space="preserve">ncorporate this aspect in conformance with best practices, and there are notable gaps that need to be addressed to ensure full conformance.  </w:t>
      </w:r>
    </w:p>
    <w:p w14:paraId="07C91F86" w14:textId="4CEF3622" w:rsidR="00BB2C44" w:rsidRPr="00031D7C" w:rsidRDefault="00BB2C44" w:rsidP="00BB2C44">
      <w:pPr>
        <w:numPr>
          <w:ilvl w:val="0"/>
          <w:numId w:val="13"/>
        </w:numPr>
        <w:spacing w:line="336" w:lineRule="auto"/>
        <w:rPr>
          <w:rFonts w:ascii="Avenir Next" w:hAnsi="Avenir Next"/>
          <w:sz w:val="20"/>
          <w:szCs w:val="20"/>
        </w:rPr>
      </w:pPr>
      <w:r w:rsidRPr="00031D7C">
        <w:rPr>
          <w:rFonts w:ascii="Avenir Next" w:eastAsia="IBM Plex Sans" w:hAnsi="Avenir Next" w:cs="IBM Plex Sans"/>
          <w:color w:val="000000"/>
          <w:sz w:val="20"/>
          <w:szCs w:val="20"/>
        </w:rPr>
        <w:t xml:space="preserve"> </w:t>
      </w:r>
      <w:r w:rsidR="00EE744F">
        <w:rPr>
          <w:rFonts w:ascii="Avenir Next" w:eastAsia="IBM Plex Sans" w:hAnsi="Avenir Next" w:cs="IBM Plex Sans"/>
          <w:color w:val="000000"/>
          <w:sz w:val="20"/>
          <w:szCs w:val="20"/>
          <w:u w:val="single" w:color="000000"/>
        </w:rPr>
        <w:t>Comments</w:t>
      </w:r>
      <w:r w:rsidRPr="00031D7C">
        <w:rPr>
          <w:rFonts w:ascii="Avenir Next" w:eastAsia="IBM Plex Sans" w:hAnsi="Avenir Next" w:cs="IBM Plex Sans"/>
          <w:color w:val="000000"/>
          <w:sz w:val="20"/>
          <w:szCs w:val="20"/>
        </w:rPr>
        <w:t xml:space="preserve">: </w:t>
      </w:r>
      <w:r w:rsidR="00C90D89">
        <w:rPr>
          <w:rFonts w:ascii="Avenir Next" w:eastAsia="IBM Plex Sans" w:hAnsi="Avenir Next" w:cs="IBM Plex Sans"/>
          <w:color w:val="000000"/>
          <w:sz w:val="20"/>
          <w:szCs w:val="20"/>
        </w:rPr>
        <w:t xml:space="preserve">an </w:t>
      </w:r>
      <w:r w:rsidRPr="00031D7C">
        <w:rPr>
          <w:rFonts w:ascii="Avenir Next" w:eastAsia="IBM Plex Sans" w:hAnsi="Avenir Next" w:cs="IBM Plex Sans"/>
          <w:color w:val="000000"/>
          <w:sz w:val="20"/>
          <w:szCs w:val="20"/>
        </w:rPr>
        <w:t xml:space="preserve">opportunity for users to offer information and/or clarifications in relation </w:t>
      </w:r>
      <w:r w:rsidR="00C90D89">
        <w:rPr>
          <w:rFonts w:ascii="Avenir Next" w:eastAsia="IBM Plex Sans" w:hAnsi="Avenir Next" w:cs="IBM Plex Sans"/>
          <w:color w:val="000000"/>
          <w:sz w:val="20"/>
          <w:szCs w:val="20"/>
        </w:rPr>
        <w:t xml:space="preserve">to </w:t>
      </w:r>
      <w:r w:rsidRPr="00031D7C">
        <w:rPr>
          <w:rFonts w:ascii="Avenir Next" w:eastAsia="IBM Plex Sans" w:hAnsi="Avenir Next" w:cs="IBM Plex Sans"/>
          <w:color w:val="000000"/>
          <w:sz w:val="20"/>
          <w:szCs w:val="20"/>
        </w:rPr>
        <w:t xml:space="preserve">their scoring. </w:t>
      </w:r>
    </w:p>
    <w:p w14:paraId="49CAFFC4" w14:textId="77777777" w:rsidR="00BB2C44" w:rsidRPr="00C878E5" w:rsidRDefault="00BB2C44" w:rsidP="00BB2C44">
      <w:pPr>
        <w:numPr>
          <w:ilvl w:val="0"/>
          <w:numId w:val="13"/>
        </w:numPr>
        <w:spacing w:line="336" w:lineRule="auto"/>
        <w:rPr>
          <w:rFonts w:ascii="Avenir Next" w:hAnsi="Avenir Next"/>
          <w:sz w:val="20"/>
          <w:szCs w:val="20"/>
        </w:rPr>
      </w:pPr>
      <w:r w:rsidRPr="00031D7C">
        <w:rPr>
          <w:rFonts w:ascii="Avenir Next" w:eastAsia="IBM Plex Sans" w:hAnsi="Avenir Next" w:cs="IBM Plex Sans"/>
          <w:color w:val="000000"/>
          <w:sz w:val="20"/>
          <w:szCs w:val="20"/>
          <w:u w:val="single" w:color="000000"/>
        </w:rPr>
        <w:t>Means of verification:</w:t>
      </w:r>
      <w:r w:rsidRPr="00031D7C">
        <w:rPr>
          <w:rFonts w:ascii="Avenir Next" w:eastAsia="IBM Plex Sans" w:hAnsi="Avenir Next" w:cs="IBM Plex Sans"/>
          <w:color w:val="000000"/>
          <w:sz w:val="20"/>
          <w:szCs w:val="20"/>
        </w:rPr>
        <w:t xml:space="preserve"> users should identify any documentation used to support their scoring, including hyperlinks with additional information.  </w:t>
      </w:r>
    </w:p>
    <w:p w14:paraId="2DF5F816" w14:textId="77777777" w:rsidR="00EE744F" w:rsidRDefault="00EE744F">
      <w:pPr>
        <w:spacing w:before="120" w:after="120" w:line="336" w:lineRule="auto"/>
        <w:rPr>
          <w:rFonts w:ascii="IBM Plex Sans" w:eastAsia="IBM Plex Sans" w:hAnsi="IBM Plex Sans" w:cs="IBM Plex Sans"/>
          <w:color w:val="000000"/>
        </w:rPr>
      </w:pPr>
    </w:p>
    <w:p w14:paraId="080E309A" w14:textId="77777777" w:rsidR="00EE744F" w:rsidRDefault="00EE744F">
      <w:pPr>
        <w:spacing w:before="120" w:after="120" w:line="336" w:lineRule="auto"/>
        <w:rPr>
          <w:rFonts w:ascii="IBM Plex Sans" w:eastAsia="IBM Plex Sans" w:hAnsi="IBM Plex Sans" w:cs="IBM Plex Sans"/>
          <w:color w:val="000000"/>
        </w:rPr>
      </w:pPr>
    </w:p>
    <w:p w14:paraId="290957C0" w14:textId="77777777" w:rsidR="00EE744F" w:rsidRDefault="00EE744F">
      <w:pPr>
        <w:spacing w:before="120" w:after="120" w:line="336" w:lineRule="auto"/>
        <w:rPr>
          <w:rFonts w:ascii="IBM Plex Sans" w:eastAsia="IBM Plex Sans" w:hAnsi="IBM Plex Sans" w:cs="IBM Plex Sans"/>
          <w:color w:val="000000"/>
        </w:rPr>
      </w:pPr>
    </w:p>
    <w:p w14:paraId="28959C45" w14:textId="77777777" w:rsidR="00EE744F" w:rsidRDefault="00EE744F">
      <w:pPr>
        <w:spacing w:before="120" w:after="120" w:line="336" w:lineRule="auto"/>
        <w:rPr>
          <w:rFonts w:ascii="IBM Plex Sans" w:eastAsia="IBM Plex Sans" w:hAnsi="IBM Plex Sans" w:cs="IBM Plex Sans"/>
          <w:color w:val="000000"/>
        </w:rPr>
      </w:pPr>
    </w:p>
    <w:p w14:paraId="68EE5DA0" w14:textId="66781A4B" w:rsidR="00A8483E" w:rsidRDefault="00000000">
      <w:pPr>
        <w:spacing w:before="120" w:after="120" w:line="336" w:lineRule="auto"/>
      </w:pPr>
      <w:r>
        <w:rPr>
          <w:rFonts w:ascii="IBM Plex Sans" w:eastAsia="IBM Plex Sans" w:hAnsi="IBM Plex Sans" w:cs="IBM Plex Sans"/>
          <w:color w:val="000000"/>
        </w:rPr>
        <w:t xml:space="preserve">   </w:t>
      </w:r>
    </w:p>
    <w:p w14:paraId="69CB9BA1" w14:textId="77777777" w:rsidR="00BB2C44" w:rsidRDefault="00BB2C44">
      <w:pPr>
        <w:spacing w:before="120" w:after="120" w:line="336" w:lineRule="auto"/>
        <w:rPr>
          <w:rFonts w:ascii="Montserrat" w:eastAsia="Montserrat" w:hAnsi="Montserrat" w:cs="Montserrat"/>
          <w:color w:val="573B46"/>
          <w:sz w:val="64"/>
          <w:szCs w:val="64"/>
        </w:rPr>
      </w:pPr>
    </w:p>
    <w:p w14:paraId="76FD72EF" w14:textId="77777777" w:rsidR="00EE744F" w:rsidRDefault="00EE744F">
      <w:pPr>
        <w:spacing w:before="120" w:after="120" w:line="336" w:lineRule="auto"/>
        <w:rPr>
          <w:rFonts w:ascii="Montserrat" w:eastAsia="Montserrat" w:hAnsi="Montserrat" w:cs="Montserrat"/>
          <w:color w:val="573B46"/>
          <w:sz w:val="64"/>
          <w:szCs w:val="64"/>
        </w:rPr>
        <w:sectPr w:rsidR="00EE744F" w:rsidSect="00ED5169">
          <w:pgSz w:w="11910" w:h="16845"/>
          <w:pgMar w:top="1440" w:right="1440" w:bottom="1440" w:left="1440" w:header="720" w:footer="720" w:gutter="0"/>
          <w:cols w:space="720"/>
        </w:sectPr>
      </w:pPr>
    </w:p>
    <w:p w14:paraId="1B8AB0AC" w14:textId="2527DCA5" w:rsidR="00A8483E" w:rsidRPr="00BB2C44" w:rsidRDefault="00EE744F">
      <w:pPr>
        <w:spacing w:before="120" w:after="120" w:line="336" w:lineRule="auto"/>
        <w:rPr>
          <w:rFonts w:ascii="Bodoni 72 Book" w:hAnsi="Bodoni 72 Book"/>
        </w:rPr>
      </w:pPr>
      <w:r>
        <w:rPr>
          <w:rFonts w:ascii="Bodoni 72 Book" w:eastAsia="Montserrat" w:hAnsi="Bodoni 72 Book" w:cs="Montserrat"/>
          <w:color w:val="573B46"/>
          <w:sz w:val="64"/>
          <w:szCs w:val="64"/>
        </w:rPr>
        <w:lastRenderedPageBreak/>
        <w:t>Questionnaire</w:t>
      </w:r>
    </w:p>
    <w:p w14:paraId="32A87F64" w14:textId="77777777" w:rsidR="00A8483E" w:rsidRDefault="00A8483E">
      <w:pPr>
        <w:pBdr>
          <w:bottom w:val="single" w:sz="6" w:space="0" w:color="573B46"/>
        </w:pBdr>
        <w:spacing w:before="120" w:after="120" w:line="0" w:lineRule="auto"/>
      </w:pPr>
    </w:p>
    <w:p w14:paraId="20471938" w14:textId="57EEA6B8" w:rsidR="00EE744F" w:rsidRDefault="00EE744F">
      <w:pPr>
        <w:spacing w:before="120" w:after="120" w:line="336" w:lineRule="auto"/>
        <w:rPr>
          <w:rFonts w:ascii="IBM Plex Sans" w:eastAsia="IBM Plex Sans" w:hAnsi="IBM Plex Sans" w:cs="IBM Plex Sans"/>
          <w:color w:val="000000"/>
        </w:rPr>
      </w:pPr>
    </w:p>
    <w:tbl>
      <w:tblPr>
        <w:tblStyle w:val="TableGrid"/>
        <w:tblW w:w="14312" w:type="dxa"/>
        <w:tblBorders>
          <w:top w:val="single" w:sz="6" w:space="0" w:color="573B46"/>
          <w:left w:val="single" w:sz="6" w:space="0" w:color="573B46"/>
          <w:bottom w:val="single" w:sz="6" w:space="0" w:color="573B46"/>
          <w:right w:val="single" w:sz="6" w:space="0" w:color="573B46"/>
          <w:insideH w:val="single" w:sz="6" w:space="0" w:color="573B46"/>
          <w:insideV w:val="single" w:sz="6" w:space="0" w:color="573B46"/>
        </w:tblBorders>
        <w:tblLook w:val="04A0" w:firstRow="1" w:lastRow="0" w:firstColumn="1" w:lastColumn="0" w:noHBand="0" w:noVBand="1"/>
      </w:tblPr>
      <w:tblGrid>
        <w:gridCol w:w="4248"/>
        <w:gridCol w:w="2126"/>
        <w:gridCol w:w="4360"/>
        <w:gridCol w:w="3578"/>
      </w:tblGrid>
      <w:tr w:rsidR="00EE744F" w:rsidRPr="00DC5B18" w14:paraId="63C8A950" w14:textId="77777777" w:rsidTr="00EE744F">
        <w:trPr>
          <w:trHeight w:val="426"/>
        </w:trPr>
        <w:tc>
          <w:tcPr>
            <w:tcW w:w="14312" w:type="dxa"/>
            <w:gridSpan w:val="4"/>
            <w:shd w:val="clear" w:color="auto" w:fill="573B46"/>
            <w:vAlign w:val="center"/>
          </w:tcPr>
          <w:p w14:paraId="12A51FFB" w14:textId="77777777" w:rsidR="00EE744F" w:rsidRPr="00EE744F" w:rsidRDefault="00EE744F" w:rsidP="00EE744F">
            <w:pPr>
              <w:rPr>
                <w:rFonts w:ascii="Avenir Next Ultra Light" w:hAnsi="Avenir Next Ultra Light" w:cs="Calibri"/>
                <w:b/>
                <w:bCs/>
                <w:color w:val="FFFFFF" w:themeColor="background1"/>
                <w:szCs w:val="22"/>
              </w:rPr>
            </w:pPr>
            <w:r w:rsidRPr="00EE744F">
              <w:rPr>
                <w:rFonts w:ascii="Avenir Next Ultra Light" w:hAnsi="Avenir Next Ultra Light" w:cs="Calibri"/>
                <w:b/>
                <w:bCs/>
                <w:color w:val="FFFFFF" w:themeColor="background1"/>
                <w:szCs w:val="22"/>
              </w:rPr>
              <w:t>Beneficiaries</w:t>
            </w:r>
          </w:p>
        </w:tc>
      </w:tr>
      <w:tr w:rsidR="00EE744F" w:rsidRPr="00DC5B18" w14:paraId="379CB063" w14:textId="77777777" w:rsidTr="00EE744F">
        <w:tc>
          <w:tcPr>
            <w:tcW w:w="4248" w:type="dxa"/>
            <w:shd w:val="clear" w:color="auto" w:fill="C9B0AC"/>
            <w:vAlign w:val="center"/>
          </w:tcPr>
          <w:p w14:paraId="241446B1" w14:textId="77777777" w:rsidR="00EE744F" w:rsidRPr="00EE744F" w:rsidRDefault="00EE744F" w:rsidP="00EE744F">
            <w:pPr>
              <w:jc w:val="center"/>
              <w:rPr>
                <w:rFonts w:ascii="Bodoni 72 Book" w:hAnsi="Bodoni 72 Book"/>
                <w:sz w:val="22"/>
                <w:szCs w:val="22"/>
              </w:rPr>
            </w:pPr>
            <w:r w:rsidRPr="00EE744F">
              <w:rPr>
                <w:rFonts w:ascii="Bodoni 72 Book" w:hAnsi="Bodoni 72 Book"/>
                <w:sz w:val="22"/>
                <w:szCs w:val="22"/>
              </w:rPr>
              <w:t>Questions</w:t>
            </w:r>
          </w:p>
        </w:tc>
        <w:tc>
          <w:tcPr>
            <w:tcW w:w="2126" w:type="dxa"/>
            <w:shd w:val="clear" w:color="auto" w:fill="C9B0AC"/>
            <w:vAlign w:val="center"/>
          </w:tcPr>
          <w:p w14:paraId="38E8CBF8" w14:textId="77777777" w:rsidR="00EE744F" w:rsidRPr="00EE744F" w:rsidRDefault="00EE744F" w:rsidP="00EE744F">
            <w:pPr>
              <w:jc w:val="center"/>
              <w:rPr>
                <w:rFonts w:ascii="Bodoni 72 Book" w:hAnsi="Bodoni 72 Book"/>
                <w:sz w:val="22"/>
                <w:szCs w:val="22"/>
              </w:rPr>
            </w:pPr>
            <w:r w:rsidRPr="00EE744F">
              <w:rPr>
                <w:rFonts w:ascii="Bodoni 72 Book" w:hAnsi="Bodoni 72 Book"/>
                <w:sz w:val="22"/>
                <w:szCs w:val="22"/>
              </w:rPr>
              <w:t>Scoring</w:t>
            </w:r>
          </w:p>
          <w:p w14:paraId="55E5B080" w14:textId="77777777" w:rsidR="00EE744F" w:rsidRPr="00EE744F" w:rsidRDefault="00EE744F" w:rsidP="00EE744F">
            <w:pPr>
              <w:jc w:val="center"/>
              <w:rPr>
                <w:rFonts w:ascii="Bodoni 72 Book" w:hAnsi="Bodoni 72 Book"/>
                <w:sz w:val="22"/>
                <w:szCs w:val="22"/>
              </w:rPr>
            </w:pPr>
            <w:r w:rsidRPr="00EE744F">
              <w:rPr>
                <w:rFonts w:ascii="Bodoni 72 Book" w:hAnsi="Bodoni 72 Book"/>
                <w:sz w:val="22"/>
                <w:szCs w:val="22"/>
              </w:rPr>
              <w:t>(Yes/No/Partially)</w:t>
            </w:r>
          </w:p>
        </w:tc>
        <w:tc>
          <w:tcPr>
            <w:tcW w:w="4360" w:type="dxa"/>
            <w:shd w:val="clear" w:color="auto" w:fill="C9B0AC"/>
            <w:vAlign w:val="center"/>
          </w:tcPr>
          <w:p w14:paraId="67B0FC4F" w14:textId="77777777" w:rsidR="00EE744F" w:rsidRPr="00EE744F" w:rsidRDefault="00EE744F" w:rsidP="00EE744F">
            <w:pPr>
              <w:jc w:val="center"/>
              <w:rPr>
                <w:rFonts w:ascii="Bodoni 72 Book" w:hAnsi="Bodoni 72 Book"/>
                <w:sz w:val="22"/>
                <w:szCs w:val="22"/>
              </w:rPr>
            </w:pPr>
            <w:r w:rsidRPr="00EE744F">
              <w:rPr>
                <w:rFonts w:ascii="Bodoni 72 Book" w:hAnsi="Bodoni 72 Book"/>
                <w:sz w:val="22"/>
                <w:szCs w:val="22"/>
              </w:rPr>
              <w:t>Comments</w:t>
            </w:r>
          </w:p>
        </w:tc>
        <w:tc>
          <w:tcPr>
            <w:tcW w:w="3578" w:type="dxa"/>
            <w:shd w:val="clear" w:color="auto" w:fill="C9B0AC"/>
            <w:vAlign w:val="center"/>
          </w:tcPr>
          <w:p w14:paraId="0BCC4C6D" w14:textId="77777777" w:rsidR="00EE744F" w:rsidRPr="00EE744F" w:rsidRDefault="00EE744F" w:rsidP="00EE744F">
            <w:pPr>
              <w:jc w:val="center"/>
              <w:rPr>
                <w:rFonts w:ascii="Bodoni 72 Book" w:hAnsi="Bodoni 72 Book"/>
                <w:sz w:val="22"/>
                <w:szCs w:val="22"/>
              </w:rPr>
            </w:pPr>
            <w:r w:rsidRPr="00EE744F">
              <w:rPr>
                <w:rFonts w:ascii="Bodoni 72 Book" w:hAnsi="Bodoni 72 Book"/>
                <w:sz w:val="22"/>
                <w:szCs w:val="22"/>
              </w:rPr>
              <w:t>Means of verification</w:t>
            </w:r>
          </w:p>
        </w:tc>
      </w:tr>
      <w:tr w:rsidR="00EE744F" w:rsidRPr="00EE744F" w14:paraId="605AEE6C" w14:textId="77777777" w:rsidTr="00EE744F">
        <w:tc>
          <w:tcPr>
            <w:tcW w:w="4248" w:type="dxa"/>
          </w:tcPr>
          <w:p w14:paraId="1127A80D" w14:textId="77777777" w:rsidR="00EE744F" w:rsidRPr="00EE744F" w:rsidRDefault="00EE744F" w:rsidP="00EE744F">
            <w:pPr>
              <w:pStyle w:val="ListParagraph"/>
              <w:numPr>
                <w:ilvl w:val="0"/>
                <w:numId w:val="16"/>
              </w:numPr>
              <w:rPr>
                <w:rFonts w:ascii="Avenir Next" w:hAnsi="Avenir Next"/>
                <w:sz w:val="20"/>
                <w:szCs w:val="20"/>
              </w:rPr>
            </w:pPr>
            <w:r w:rsidRPr="00EE744F">
              <w:rPr>
                <w:rFonts w:ascii="Avenir Next" w:hAnsi="Avenir Next"/>
                <w:sz w:val="20"/>
                <w:szCs w:val="20"/>
              </w:rPr>
              <w:t>Does the revenue distribution plan or system define who are the categories of beneficiaries?</w:t>
            </w:r>
          </w:p>
          <w:p w14:paraId="3966A548" w14:textId="77777777" w:rsidR="00EE744F" w:rsidRPr="00EE744F" w:rsidRDefault="00EE744F" w:rsidP="00CE0AF6">
            <w:pPr>
              <w:pStyle w:val="ListParagraph"/>
              <w:rPr>
                <w:rFonts w:ascii="Avenir Next" w:hAnsi="Avenir Next"/>
                <w:sz w:val="20"/>
                <w:szCs w:val="20"/>
              </w:rPr>
            </w:pPr>
          </w:p>
        </w:tc>
        <w:tc>
          <w:tcPr>
            <w:tcW w:w="2126" w:type="dxa"/>
          </w:tcPr>
          <w:p w14:paraId="31DF9B97" w14:textId="77777777" w:rsidR="00EE744F" w:rsidRPr="00EE744F" w:rsidRDefault="00EE744F" w:rsidP="00CE0AF6">
            <w:pPr>
              <w:rPr>
                <w:rFonts w:ascii="Avenir Next" w:hAnsi="Avenir Next"/>
                <w:sz w:val="20"/>
                <w:szCs w:val="20"/>
              </w:rPr>
            </w:pPr>
          </w:p>
        </w:tc>
        <w:tc>
          <w:tcPr>
            <w:tcW w:w="4360" w:type="dxa"/>
          </w:tcPr>
          <w:p w14:paraId="6A60C0ED" w14:textId="77777777" w:rsidR="00EE744F" w:rsidRPr="00EE744F" w:rsidRDefault="00EE744F" w:rsidP="00CE0AF6">
            <w:pPr>
              <w:rPr>
                <w:rFonts w:ascii="Avenir Next" w:hAnsi="Avenir Next"/>
                <w:sz w:val="20"/>
                <w:szCs w:val="20"/>
              </w:rPr>
            </w:pPr>
          </w:p>
        </w:tc>
        <w:tc>
          <w:tcPr>
            <w:tcW w:w="3578" w:type="dxa"/>
          </w:tcPr>
          <w:p w14:paraId="1CD63278" w14:textId="77777777" w:rsidR="00EE744F" w:rsidRPr="00EE744F" w:rsidRDefault="00EE744F" w:rsidP="00CE0AF6">
            <w:pPr>
              <w:rPr>
                <w:rFonts w:ascii="Avenir Next" w:hAnsi="Avenir Next"/>
                <w:sz w:val="20"/>
                <w:szCs w:val="20"/>
              </w:rPr>
            </w:pPr>
          </w:p>
        </w:tc>
      </w:tr>
      <w:tr w:rsidR="00EE744F" w:rsidRPr="00EE744F" w14:paraId="0984C707" w14:textId="77777777" w:rsidTr="00EE744F">
        <w:tc>
          <w:tcPr>
            <w:tcW w:w="4248" w:type="dxa"/>
          </w:tcPr>
          <w:p w14:paraId="1B79945B" w14:textId="234DF28C" w:rsidR="00EE744F" w:rsidRPr="00EE744F" w:rsidRDefault="00EE744F" w:rsidP="00EE744F">
            <w:pPr>
              <w:pStyle w:val="ListParagraph"/>
              <w:numPr>
                <w:ilvl w:val="0"/>
                <w:numId w:val="16"/>
              </w:numPr>
              <w:rPr>
                <w:rFonts w:ascii="Avenir Next" w:hAnsi="Avenir Next"/>
                <w:b/>
                <w:bCs/>
                <w:sz w:val="20"/>
                <w:szCs w:val="20"/>
              </w:rPr>
            </w:pPr>
            <w:r w:rsidRPr="00EE744F">
              <w:rPr>
                <w:rFonts w:ascii="Avenir Next" w:hAnsi="Avenir Next"/>
                <w:sz w:val="20"/>
                <w:szCs w:val="20"/>
              </w:rPr>
              <w:t xml:space="preserve">Does the revenue distribution plan or system </w:t>
            </w:r>
            <w:r w:rsidR="00C90D89" w:rsidRPr="00EE744F">
              <w:rPr>
                <w:rFonts w:ascii="Avenir Next" w:hAnsi="Avenir Next"/>
                <w:sz w:val="20"/>
                <w:szCs w:val="20"/>
              </w:rPr>
              <w:t>define</w:t>
            </w:r>
            <w:r w:rsidRPr="00EE744F">
              <w:rPr>
                <w:rFonts w:ascii="Avenir Next" w:hAnsi="Avenir Next"/>
                <w:sz w:val="20"/>
                <w:szCs w:val="20"/>
              </w:rPr>
              <w:t xml:space="preserve"> the eligibility criteria/conditions that need to be met/demonstrated in order to access the incentives (e.g., from demonstrating the tenure on the land to demonstrating the right of land use)?</w:t>
            </w:r>
          </w:p>
          <w:p w14:paraId="223D28D9" w14:textId="77777777" w:rsidR="00EE744F" w:rsidRPr="00EE744F" w:rsidRDefault="00EE744F" w:rsidP="00CE0AF6">
            <w:pPr>
              <w:pStyle w:val="ListParagraph"/>
              <w:rPr>
                <w:rFonts w:ascii="Avenir Next" w:hAnsi="Avenir Next"/>
                <w:sz w:val="20"/>
                <w:szCs w:val="20"/>
              </w:rPr>
            </w:pPr>
          </w:p>
        </w:tc>
        <w:tc>
          <w:tcPr>
            <w:tcW w:w="2126" w:type="dxa"/>
          </w:tcPr>
          <w:p w14:paraId="1F54D2BE" w14:textId="77777777" w:rsidR="00EE744F" w:rsidRPr="00EE744F" w:rsidRDefault="00EE744F" w:rsidP="00CE0AF6">
            <w:pPr>
              <w:rPr>
                <w:rFonts w:ascii="Avenir Next" w:hAnsi="Avenir Next"/>
                <w:sz w:val="20"/>
                <w:szCs w:val="20"/>
              </w:rPr>
            </w:pPr>
          </w:p>
        </w:tc>
        <w:tc>
          <w:tcPr>
            <w:tcW w:w="4360" w:type="dxa"/>
          </w:tcPr>
          <w:p w14:paraId="1425888F" w14:textId="77777777" w:rsidR="00EE744F" w:rsidRPr="00EE744F" w:rsidRDefault="00EE744F" w:rsidP="00CE0AF6">
            <w:pPr>
              <w:rPr>
                <w:rFonts w:ascii="Avenir Next" w:hAnsi="Avenir Next"/>
                <w:sz w:val="20"/>
                <w:szCs w:val="20"/>
              </w:rPr>
            </w:pPr>
          </w:p>
        </w:tc>
        <w:tc>
          <w:tcPr>
            <w:tcW w:w="3578" w:type="dxa"/>
          </w:tcPr>
          <w:p w14:paraId="7EF49F00" w14:textId="77777777" w:rsidR="00EE744F" w:rsidRPr="00EE744F" w:rsidRDefault="00EE744F" w:rsidP="00CE0AF6">
            <w:pPr>
              <w:rPr>
                <w:rFonts w:ascii="Avenir Next" w:hAnsi="Avenir Next"/>
                <w:sz w:val="20"/>
                <w:szCs w:val="20"/>
              </w:rPr>
            </w:pPr>
          </w:p>
        </w:tc>
      </w:tr>
      <w:tr w:rsidR="00EE744F" w:rsidRPr="00EE744F" w14:paraId="45D10A18" w14:textId="77777777" w:rsidTr="00EE744F">
        <w:tc>
          <w:tcPr>
            <w:tcW w:w="4248" w:type="dxa"/>
          </w:tcPr>
          <w:p w14:paraId="45D40CF8" w14:textId="77777777" w:rsidR="00EE744F" w:rsidRPr="00EE744F" w:rsidRDefault="00EE744F" w:rsidP="00EE744F">
            <w:pPr>
              <w:pStyle w:val="ListParagraph"/>
              <w:numPr>
                <w:ilvl w:val="0"/>
                <w:numId w:val="16"/>
              </w:numPr>
              <w:rPr>
                <w:rFonts w:ascii="Avenir Next" w:hAnsi="Avenir Next"/>
                <w:sz w:val="20"/>
                <w:szCs w:val="20"/>
              </w:rPr>
            </w:pPr>
            <w:r w:rsidRPr="00EE744F">
              <w:rPr>
                <w:rFonts w:ascii="Avenir Next" w:hAnsi="Avenir Next"/>
                <w:sz w:val="20"/>
                <w:szCs w:val="20"/>
              </w:rPr>
              <w:t>Does the revenue distribution plan or system identify potential measures to address barriers to participation?</w:t>
            </w:r>
            <w:r w:rsidRPr="00EE744F">
              <w:rPr>
                <w:rStyle w:val="FootnoteReference"/>
                <w:rFonts w:ascii="Avenir Next" w:hAnsi="Avenir Next"/>
                <w:sz w:val="20"/>
                <w:szCs w:val="20"/>
              </w:rPr>
              <w:footnoteReference w:id="6"/>
            </w:r>
          </w:p>
          <w:p w14:paraId="73024D1F" w14:textId="77777777" w:rsidR="00EE744F" w:rsidRPr="00EE744F" w:rsidRDefault="00EE744F" w:rsidP="00CE0AF6">
            <w:pPr>
              <w:rPr>
                <w:rFonts w:ascii="Avenir Next" w:hAnsi="Avenir Next"/>
                <w:sz w:val="20"/>
                <w:szCs w:val="20"/>
              </w:rPr>
            </w:pPr>
          </w:p>
        </w:tc>
        <w:tc>
          <w:tcPr>
            <w:tcW w:w="2126" w:type="dxa"/>
          </w:tcPr>
          <w:p w14:paraId="3A55A5F5" w14:textId="77777777" w:rsidR="00EE744F" w:rsidRPr="00EE744F" w:rsidRDefault="00EE744F" w:rsidP="00CE0AF6">
            <w:pPr>
              <w:rPr>
                <w:rFonts w:ascii="Avenir Next" w:hAnsi="Avenir Next"/>
                <w:sz w:val="20"/>
                <w:szCs w:val="20"/>
              </w:rPr>
            </w:pPr>
          </w:p>
        </w:tc>
        <w:tc>
          <w:tcPr>
            <w:tcW w:w="4360" w:type="dxa"/>
          </w:tcPr>
          <w:p w14:paraId="02CC800C" w14:textId="77777777" w:rsidR="00EE744F" w:rsidRPr="00EE744F" w:rsidRDefault="00EE744F" w:rsidP="00CE0AF6">
            <w:pPr>
              <w:rPr>
                <w:rFonts w:ascii="Avenir Next" w:hAnsi="Avenir Next"/>
                <w:sz w:val="20"/>
                <w:szCs w:val="20"/>
              </w:rPr>
            </w:pPr>
          </w:p>
        </w:tc>
        <w:tc>
          <w:tcPr>
            <w:tcW w:w="3578" w:type="dxa"/>
          </w:tcPr>
          <w:p w14:paraId="7A59103E" w14:textId="77777777" w:rsidR="00EE744F" w:rsidRPr="00EE744F" w:rsidRDefault="00EE744F" w:rsidP="00CE0AF6">
            <w:pPr>
              <w:rPr>
                <w:rFonts w:ascii="Avenir Next" w:hAnsi="Avenir Next"/>
                <w:sz w:val="20"/>
                <w:szCs w:val="20"/>
              </w:rPr>
            </w:pPr>
          </w:p>
        </w:tc>
      </w:tr>
      <w:tr w:rsidR="00EE744F" w:rsidRPr="00EE744F" w14:paraId="7CE67F7B" w14:textId="77777777" w:rsidTr="00EE744F">
        <w:tc>
          <w:tcPr>
            <w:tcW w:w="14312" w:type="dxa"/>
            <w:gridSpan w:val="4"/>
            <w:shd w:val="clear" w:color="auto" w:fill="573B46"/>
            <w:vAlign w:val="center"/>
          </w:tcPr>
          <w:p w14:paraId="7F7D16F4" w14:textId="77777777" w:rsidR="00EE744F" w:rsidRPr="00EE744F" w:rsidRDefault="00EE744F" w:rsidP="00EE744F">
            <w:pPr>
              <w:rPr>
                <w:rFonts w:ascii="Avenir Next Ultra Light" w:hAnsi="Avenir Next Ultra Light" w:cs="Calibri"/>
                <w:b/>
                <w:bCs/>
                <w:color w:val="FFFFFF" w:themeColor="background1"/>
              </w:rPr>
            </w:pPr>
            <w:r w:rsidRPr="00EE744F">
              <w:rPr>
                <w:rFonts w:ascii="Avenir Next Ultra Light" w:hAnsi="Avenir Next Ultra Light" w:cs="Calibri"/>
                <w:b/>
                <w:bCs/>
                <w:color w:val="FFFFFF" w:themeColor="background1"/>
              </w:rPr>
              <w:t>Incentives</w:t>
            </w:r>
          </w:p>
        </w:tc>
      </w:tr>
      <w:tr w:rsidR="00EE744F" w:rsidRPr="00EE744F" w14:paraId="7FA1730B" w14:textId="77777777" w:rsidTr="00EE744F">
        <w:tc>
          <w:tcPr>
            <w:tcW w:w="4248" w:type="dxa"/>
            <w:shd w:val="clear" w:color="auto" w:fill="C9B0AC"/>
            <w:vAlign w:val="center"/>
          </w:tcPr>
          <w:p w14:paraId="31B580A7" w14:textId="77777777" w:rsidR="00EE744F" w:rsidRPr="00EE744F" w:rsidRDefault="00EE744F" w:rsidP="00EE744F">
            <w:pPr>
              <w:jc w:val="center"/>
              <w:rPr>
                <w:rFonts w:ascii="Bodoni 72 Book" w:hAnsi="Bodoni 72 Book"/>
                <w:sz w:val="22"/>
                <w:szCs w:val="22"/>
              </w:rPr>
            </w:pPr>
            <w:r w:rsidRPr="00EE744F">
              <w:rPr>
                <w:rFonts w:ascii="Bodoni 72 Book" w:hAnsi="Bodoni 72 Book"/>
                <w:sz w:val="22"/>
                <w:szCs w:val="22"/>
              </w:rPr>
              <w:t>Questions</w:t>
            </w:r>
          </w:p>
        </w:tc>
        <w:tc>
          <w:tcPr>
            <w:tcW w:w="2126" w:type="dxa"/>
            <w:shd w:val="clear" w:color="auto" w:fill="C9B0AC"/>
            <w:vAlign w:val="center"/>
          </w:tcPr>
          <w:p w14:paraId="1B1560F6" w14:textId="77777777" w:rsidR="00EE744F" w:rsidRPr="00EE744F" w:rsidRDefault="00EE744F" w:rsidP="00EE744F">
            <w:pPr>
              <w:jc w:val="center"/>
              <w:rPr>
                <w:rFonts w:ascii="Bodoni 72 Book" w:hAnsi="Bodoni 72 Book"/>
                <w:sz w:val="22"/>
                <w:szCs w:val="22"/>
              </w:rPr>
            </w:pPr>
            <w:r w:rsidRPr="00EE744F">
              <w:rPr>
                <w:rFonts w:ascii="Bodoni 72 Book" w:hAnsi="Bodoni 72 Book"/>
                <w:sz w:val="22"/>
                <w:szCs w:val="22"/>
              </w:rPr>
              <w:t>Scoring</w:t>
            </w:r>
          </w:p>
          <w:p w14:paraId="1E356C20" w14:textId="77777777" w:rsidR="00EE744F" w:rsidRPr="00EE744F" w:rsidRDefault="00EE744F" w:rsidP="00EE744F">
            <w:pPr>
              <w:jc w:val="center"/>
              <w:rPr>
                <w:rFonts w:ascii="Bodoni 72 Book" w:hAnsi="Bodoni 72 Book"/>
                <w:sz w:val="22"/>
                <w:szCs w:val="22"/>
              </w:rPr>
            </w:pPr>
            <w:r w:rsidRPr="00EE744F">
              <w:rPr>
                <w:rFonts w:ascii="Bodoni 72 Book" w:hAnsi="Bodoni 72 Book"/>
                <w:sz w:val="22"/>
                <w:szCs w:val="22"/>
              </w:rPr>
              <w:lastRenderedPageBreak/>
              <w:t>(Yes/No/Partially)</w:t>
            </w:r>
          </w:p>
        </w:tc>
        <w:tc>
          <w:tcPr>
            <w:tcW w:w="4360" w:type="dxa"/>
            <w:shd w:val="clear" w:color="auto" w:fill="C9B0AC"/>
            <w:vAlign w:val="center"/>
          </w:tcPr>
          <w:p w14:paraId="0281C84B" w14:textId="77777777" w:rsidR="00EE744F" w:rsidRPr="00EE744F" w:rsidRDefault="00EE744F" w:rsidP="00EE744F">
            <w:pPr>
              <w:jc w:val="center"/>
              <w:rPr>
                <w:rFonts w:ascii="Bodoni 72 Book" w:hAnsi="Bodoni 72 Book"/>
                <w:sz w:val="22"/>
                <w:szCs w:val="22"/>
              </w:rPr>
            </w:pPr>
            <w:r w:rsidRPr="00EE744F">
              <w:rPr>
                <w:rFonts w:ascii="Bodoni 72 Book" w:hAnsi="Bodoni 72 Book"/>
                <w:sz w:val="22"/>
                <w:szCs w:val="22"/>
              </w:rPr>
              <w:lastRenderedPageBreak/>
              <w:t>Comments</w:t>
            </w:r>
          </w:p>
        </w:tc>
        <w:tc>
          <w:tcPr>
            <w:tcW w:w="3578" w:type="dxa"/>
            <w:shd w:val="clear" w:color="auto" w:fill="C9B0AC"/>
            <w:vAlign w:val="center"/>
          </w:tcPr>
          <w:p w14:paraId="47ED8F5B" w14:textId="77777777" w:rsidR="00EE744F" w:rsidRPr="00EE744F" w:rsidRDefault="00EE744F" w:rsidP="00EE744F">
            <w:pPr>
              <w:jc w:val="center"/>
              <w:rPr>
                <w:rFonts w:ascii="Bodoni 72 Book" w:hAnsi="Bodoni 72 Book"/>
                <w:sz w:val="22"/>
                <w:szCs w:val="22"/>
              </w:rPr>
            </w:pPr>
            <w:r w:rsidRPr="00EE744F">
              <w:rPr>
                <w:rFonts w:ascii="Bodoni 72 Book" w:hAnsi="Bodoni 72 Book"/>
                <w:sz w:val="22"/>
                <w:szCs w:val="22"/>
              </w:rPr>
              <w:t>Means of verification</w:t>
            </w:r>
          </w:p>
        </w:tc>
      </w:tr>
      <w:tr w:rsidR="00EE744F" w:rsidRPr="00EE744F" w14:paraId="26323DBD" w14:textId="77777777" w:rsidTr="00EE744F">
        <w:tc>
          <w:tcPr>
            <w:tcW w:w="4248" w:type="dxa"/>
          </w:tcPr>
          <w:p w14:paraId="6FC76DCC" w14:textId="77777777" w:rsidR="00EE744F" w:rsidRPr="00EE744F" w:rsidRDefault="00EE744F" w:rsidP="00EE744F">
            <w:pPr>
              <w:pStyle w:val="ListParagraph"/>
              <w:numPr>
                <w:ilvl w:val="0"/>
                <w:numId w:val="16"/>
              </w:numPr>
              <w:rPr>
                <w:rFonts w:ascii="Avenir Next" w:hAnsi="Avenir Next"/>
                <w:sz w:val="20"/>
                <w:szCs w:val="20"/>
              </w:rPr>
            </w:pPr>
            <w:r w:rsidRPr="00EE744F">
              <w:rPr>
                <w:rFonts w:ascii="Avenir Next" w:hAnsi="Avenir Next"/>
                <w:sz w:val="20"/>
                <w:szCs w:val="20"/>
              </w:rPr>
              <w:t>Does the revenue distribution plan or system define the incentives offered (monetary and non-monetary)?</w:t>
            </w:r>
            <w:r w:rsidRPr="00EE744F">
              <w:rPr>
                <w:rStyle w:val="FootnoteReference"/>
                <w:rFonts w:ascii="Avenir Next" w:hAnsi="Avenir Next"/>
                <w:sz w:val="20"/>
                <w:szCs w:val="20"/>
              </w:rPr>
              <w:footnoteReference w:id="7"/>
            </w:r>
          </w:p>
          <w:p w14:paraId="50CC0E3D" w14:textId="77777777" w:rsidR="00EE744F" w:rsidRPr="00EE744F" w:rsidRDefault="00EE744F" w:rsidP="00CE0AF6">
            <w:pPr>
              <w:rPr>
                <w:rFonts w:ascii="Avenir Next" w:hAnsi="Avenir Next"/>
                <w:sz w:val="20"/>
                <w:szCs w:val="20"/>
              </w:rPr>
            </w:pPr>
          </w:p>
          <w:p w14:paraId="3F4B1FFD" w14:textId="77777777" w:rsidR="00EE744F" w:rsidRPr="00EE744F" w:rsidRDefault="00EE744F" w:rsidP="00CE0AF6">
            <w:pPr>
              <w:rPr>
                <w:rFonts w:ascii="Avenir Next" w:hAnsi="Avenir Next"/>
                <w:sz w:val="20"/>
                <w:szCs w:val="20"/>
              </w:rPr>
            </w:pPr>
          </w:p>
        </w:tc>
        <w:tc>
          <w:tcPr>
            <w:tcW w:w="2126" w:type="dxa"/>
          </w:tcPr>
          <w:p w14:paraId="401700FB" w14:textId="77777777" w:rsidR="00EE744F" w:rsidRPr="00EE744F" w:rsidRDefault="00EE744F" w:rsidP="00CE0AF6">
            <w:pPr>
              <w:rPr>
                <w:rFonts w:ascii="Avenir Next" w:hAnsi="Avenir Next"/>
                <w:sz w:val="20"/>
                <w:szCs w:val="20"/>
              </w:rPr>
            </w:pPr>
          </w:p>
        </w:tc>
        <w:tc>
          <w:tcPr>
            <w:tcW w:w="4360" w:type="dxa"/>
          </w:tcPr>
          <w:p w14:paraId="4D8D6F61" w14:textId="77777777" w:rsidR="00EE744F" w:rsidRPr="00EE744F" w:rsidRDefault="00EE744F" w:rsidP="00CE0AF6">
            <w:pPr>
              <w:rPr>
                <w:rFonts w:ascii="Avenir Next" w:hAnsi="Avenir Next"/>
                <w:sz w:val="20"/>
                <w:szCs w:val="20"/>
              </w:rPr>
            </w:pPr>
          </w:p>
        </w:tc>
        <w:tc>
          <w:tcPr>
            <w:tcW w:w="3578" w:type="dxa"/>
          </w:tcPr>
          <w:p w14:paraId="45F6C00B" w14:textId="77777777" w:rsidR="00EE744F" w:rsidRPr="00EE744F" w:rsidRDefault="00EE744F" w:rsidP="00CE0AF6">
            <w:pPr>
              <w:rPr>
                <w:rFonts w:ascii="Avenir Next" w:hAnsi="Avenir Next"/>
                <w:sz w:val="20"/>
                <w:szCs w:val="20"/>
              </w:rPr>
            </w:pPr>
          </w:p>
        </w:tc>
      </w:tr>
      <w:tr w:rsidR="00EE744F" w:rsidRPr="00EE744F" w14:paraId="79CE7005" w14:textId="77777777" w:rsidTr="00EE744F">
        <w:tc>
          <w:tcPr>
            <w:tcW w:w="4248" w:type="dxa"/>
          </w:tcPr>
          <w:p w14:paraId="70774A08" w14:textId="77777777" w:rsidR="00EE744F" w:rsidRPr="00EE744F" w:rsidRDefault="00EE744F" w:rsidP="00EE744F">
            <w:pPr>
              <w:pStyle w:val="ListParagraph"/>
              <w:numPr>
                <w:ilvl w:val="0"/>
                <w:numId w:val="16"/>
              </w:numPr>
              <w:rPr>
                <w:rFonts w:ascii="Avenir Next" w:hAnsi="Avenir Next"/>
                <w:sz w:val="20"/>
                <w:szCs w:val="20"/>
              </w:rPr>
            </w:pPr>
            <w:r w:rsidRPr="00EE744F">
              <w:rPr>
                <w:rFonts w:ascii="Avenir Next" w:hAnsi="Avenir Next"/>
                <w:sz w:val="20"/>
                <w:szCs w:val="20"/>
              </w:rPr>
              <w:t>Does the revenue distribution plan or system describe how the funds would be allocated and its rationale?</w:t>
            </w:r>
            <w:r w:rsidRPr="00EE744F">
              <w:rPr>
                <w:rStyle w:val="FootnoteReference"/>
                <w:rFonts w:ascii="Avenir Next" w:hAnsi="Avenir Next"/>
                <w:sz w:val="20"/>
                <w:szCs w:val="20"/>
              </w:rPr>
              <w:footnoteReference w:id="8"/>
            </w:r>
          </w:p>
          <w:p w14:paraId="2B6014F6" w14:textId="77777777" w:rsidR="00EE744F" w:rsidRPr="00EE744F" w:rsidRDefault="00EE744F" w:rsidP="00CE0AF6">
            <w:pPr>
              <w:rPr>
                <w:rFonts w:ascii="Avenir Next" w:hAnsi="Avenir Next"/>
                <w:sz w:val="20"/>
                <w:szCs w:val="20"/>
              </w:rPr>
            </w:pPr>
          </w:p>
        </w:tc>
        <w:tc>
          <w:tcPr>
            <w:tcW w:w="2126" w:type="dxa"/>
          </w:tcPr>
          <w:p w14:paraId="2010E52E" w14:textId="77777777" w:rsidR="00EE744F" w:rsidRPr="00EE744F" w:rsidRDefault="00EE744F" w:rsidP="00CE0AF6">
            <w:pPr>
              <w:rPr>
                <w:rFonts w:ascii="Avenir Next" w:hAnsi="Avenir Next"/>
                <w:sz w:val="20"/>
                <w:szCs w:val="20"/>
              </w:rPr>
            </w:pPr>
          </w:p>
        </w:tc>
        <w:tc>
          <w:tcPr>
            <w:tcW w:w="4360" w:type="dxa"/>
          </w:tcPr>
          <w:p w14:paraId="4334D7F3" w14:textId="77777777" w:rsidR="00EE744F" w:rsidRPr="00EE744F" w:rsidRDefault="00EE744F" w:rsidP="00CE0AF6">
            <w:pPr>
              <w:rPr>
                <w:rFonts w:ascii="Avenir Next" w:hAnsi="Avenir Next"/>
                <w:sz w:val="20"/>
                <w:szCs w:val="20"/>
              </w:rPr>
            </w:pPr>
          </w:p>
        </w:tc>
        <w:tc>
          <w:tcPr>
            <w:tcW w:w="3578" w:type="dxa"/>
          </w:tcPr>
          <w:p w14:paraId="5D4D4EA1" w14:textId="77777777" w:rsidR="00EE744F" w:rsidRPr="00EE744F" w:rsidRDefault="00EE744F" w:rsidP="00CE0AF6">
            <w:pPr>
              <w:rPr>
                <w:rFonts w:ascii="Avenir Next" w:hAnsi="Avenir Next"/>
                <w:sz w:val="20"/>
                <w:szCs w:val="20"/>
              </w:rPr>
            </w:pPr>
          </w:p>
        </w:tc>
      </w:tr>
      <w:tr w:rsidR="00EE744F" w:rsidRPr="00EE744F" w14:paraId="23FD4A4A" w14:textId="77777777" w:rsidTr="00EE744F">
        <w:tc>
          <w:tcPr>
            <w:tcW w:w="4248" w:type="dxa"/>
          </w:tcPr>
          <w:p w14:paraId="7FAC617B" w14:textId="77777777" w:rsidR="00EE744F" w:rsidRPr="00EE744F" w:rsidRDefault="00EE744F" w:rsidP="00EE744F">
            <w:pPr>
              <w:pStyle w:val="ListParagraph"/>
              <w:numPr>
                <w:ilvl w:val="0"/>
                <w:numId w:val="16"/>
              </w:numPr>
              <w:rPr>
                <w:rFonts w:ascii="Avenir Next" w:hAnsi="Avenir Next"/>
                <w:sz w:val="20"/>
                <w:szCs w:val="20"/>
              </w:rPr>
            </w:pPr>
            <w:r w:rsidRPr="00EE744F">
              <w:rPr>
                <w:rFonts w:ascii="Avenir Next" w:hAnsi="Avenir Next"/>
                <w:sz w:val="20"/>
                <w:szCs w:val="20"/>
              </w:rPr>
              <w:t>If there are differences in the incentives directed to different stakeholders, is there a clear explanation of the rationale?</w:t>
            </w:r>
          </w:p>
        </w:tc>
        <w:tc>
          <w:tcPr>
            <w:tcW w:w="2126" w:type="dxa"/>
          </w:tcPr>
          <w:p w14:paraId="13249AA8" w14:textId="77777777" w:rsidR="00EE744F" w:rsidRPr="00EE744F" w:rsidRDefault="00EE744F" w:rsidP="00CE0AF6">
            <w:pPr>
              <w:rPr>
                <w:rFonts w:ascii="Avenir Next" w:hAnsi="Avenir Next"/>
                <w:sz w:val="20"/>
                <w:szCs w:val="20"/>
              </w:rPr>
            </w:pPr>
          </w:p>
        </w:tc>
        <w:tc>
          <w:tcPr>
            <w:tcW w:w="4360" w:type="dxa"/>
          </w:tcPr>
          <w:p w14:paraId="7E4DD2F4" w14:textId="77777777" w:rsidR="00EE744F" w:rsidRPr="00EE744F" w:rsidRDefault="00EE744F" w:rsidP="00CE0AF6">
            <w:pPr>
              <w:rPr>
                <w:rFonts w:ascii="Avenir Next" w:hAnsi="Avenir Next"/>
                <w:sz w:val="20"/>
                <w:szCs w:val="20"/>
              </w:rPr>
            </w:pPr>
          </w:p>
        </w:tc>
        <w:tc>
          <w:tcPr>
            <w:tcW w:w="3578" w:type="dxa"/>
          </w:tcPr>
          <w:p w14:paraId="0AA2D620" w14:textId="77777777" w:rsidR="00EE744F" w:rsidRPr="00EE744F" w:rsidRDefault="00EE744F" w:rsidP="00CE0AF6">
            <w:pPr>
              <w:rPr>
                <w:rFonts w:ascii="Avenir Next" w:hAnsi="Avenir Next"/>
                <w:sz w:val="20"/>
                <w:szCs w:val="20"/>
              </w:rPr>
            </w:pPr>
          </w:p>
        </w:tc>
      </w:tr>
      <w:tr w:rsidR="00EE744F" w:rsidRPr="00EE744F" w14:paraId="7694850B" w14:textId="77777777" w:rsidTr="00EE744F">
        <w:trPr>
          <w:trHeight w:val="417"/>
        </w:trPr>
        <w:tc>
          <w:tcPr>
            <w:tcW w:w="14312" w:type="dxa"/>
            <w:gridSpan w:val="4"/>
            <w:shd w:val="clear" w:color="auto" w:fill="573B46"/>
            <w:vAlign w:val="center"/>
          </w:tcPr>
          <w:p w14:paraId="4717C95B" w14:textId="77777777" w:rsidR="00EE744F" w:rsidRPr="00EE744F" w:rsidRDefault="00EE744F" w:rsidP="00EE744F">
            <w:pPr>
              <w:rPr>
                <w:rFonts w:ascii="Avenir Next Ultra Light" w:hAnsi="Avenir Next Ultra Light"/>
                <w:b/>
                <w:bCs/>
                <w:color w:val="FFFFFF" w:themeColor="background1"/>
              </w:rPr>
            </w:pPr>
            <w:r w:rsidRPr="00EE744F">
              <w:rPr>
                <w:rFonts w:ascii="Avenir Next Ultra Light" w:hAnsi="Avenir Next Ultra Light" w:cs="Calibri"/>
                <w:b/>
                <w:bCs/>
                <w:color w:val="FFFFFF" w:themeColor="background1"/>
              </w:rPr>
              <w:t>Mechanisms for the distribution of benefits and institutional architecture</w:t>
            </w:r>
          </w:p>
        </w:tc>
      </w:tr>
      <w:tr w:rsidR="00EE744F" w:rsidRPr="00EE744F" w14:paraId="5FC41E31" w14:textId="77777777" w:rsidTr="00EE744F">
        <w:tc>
          <w:tcPr>
            <w:tcW w:w="4248" w:type="dxa"/>
            <w:shd w:val="clear" w:color="auto" w:fill="C9B0AC"/>
            <w:vAlign w:val="center"/>
          </w:tcPr>
          <w:p w14:paraId="3AC0E0CC" w14:textId="77777777" w:rsidR="00EE744F" w:rsidRPr="00EE744F" w:rsidRDefault="00EE744F" w:rsidP="00EE744F">
            <w:pPr>
              <w:jc w:val="center"/>
              <w:rPr>
                <w:rFonts w:ascii="Bodoni 72 Book" w:hAnsi="Bodoni 72 Book"/>
                <w:sz w:val="22"/>
                <w:szCs w:val="22"/>
              </w:rPr>
            </w:pPr>
            <w:r w:rsidRPr="00EE744F">
              <w:rPr>
                <w:rFonts w:ascii="Bodoni 72 Book" w:hAnsi="Bodoni 72 Book"/>
                <w:sz w:val="22"/>
                <w:szCs w:val="22"/>
              </w:rPr>
              <w:t>Questions</w:t>
            </w:r>
          </w:p>
        </w:tc>
        <w:tc>
          <w:tcPr>
            <w:tcW w:w="2126" w:type="dxa"/>
            <w:shd w:val="clear" w:color="auto" w:fill="C9B0AC"/>
            <w:vAlign w:val="center"/>
          </w:tcPr>
          <w:p w14:paraId="147CB7DF" w14:textId="77777777" w:rsidR="00EE744F" w:rsidRPr="00EE744F" w:rsidRDefault="00EE744F" w:rsidP="00EE744F">
            <w:pPr>
              <w:jc w:val="center"/>
              <w:rPr>
                <w:rFonts w:ascii="Bodoni 72 Book" w:hAnsi="Bodoni 72 Book"/>
                <w:sz w:val="22"/>
                <w:szCs w:val="22"/>
              </w:rPr>
            </w:pPr>
            <w:r w:rsidRPr="00EE744F">
              <w:rPr>
                <w:rFonts w:ascii="Bodoni 72 Book" w:hAnsi="Bodoni 72 Book"/>
                <w:sz w:val="22"/>
                <w:szCs w:val="22"/>
              </w:rPr>
              <w:t>Scoring</w:t>
            </w:r>
          </w:p>
          <w:p w14:paraId="0FA69D9D" w14:textId="77777777" w:rsidR="00EE744F" w:rsidRPr="00EE744F" w:rsidRDefault="00EE744F" w:rsidP="00EE744F">
            <w:pPr>
              <w:jc w:val="center"/>
              <w:rPr>
                <w:rFonts w:ascii="Bodoni 72 Book" w:hAnsi="Bodoni 72 Book"/>
                <w:sz w:val="22"/>
                <w:szCs w:val="22"/>
              </w:rPr>
            </w:pPr>
            <w:r w:rsidRPr="00EE744F">
              <w:rPr>
                <w:rFonts w:ascii="Bodoni 72 Book" w:hAnsi="Bodoni 72 Book"/>
                <w:sz w:val="22"/>
                <w:szCs w:val="22"/>
              </w:rPr>
              <w:t>(Yes/No/Partially)</w:t>
            </w:r>
          </w:p>
        </w:tc>
        <w:tc>
          <w:tcPr>
            <w:tcW w:w="4360" w:type="dxa"/>
            <w:shd w:val="clear" w:color="auto" w:fill="C9B0AC"/>
            <w:vAlign w:val="center"/>
          </w:tcPr>
          <w:p w14:paraId="05F93AF9" w14:textId="77777777" w:rsidR="00EE744F" w:rsidRPr="00EE744F" w:rsidRDefault="00EE744F" w:rsidP="00EE744F">
            <w:pPr>
              <w:jc w:val="center"/>
              <w:rPr>
                <w:rFonts w:ascii="Bodoni 72 Book" w:hAnsi="Bodoni 72 Book"/>
                <w:sz w:val="22"/>
                <w:szCs w:val="22"/>
              </w:rPr>
            </w:pPr>
            <w:r w:rsidRPr="00EE744F">
              <w:rPr>
                <w:rFonts w:ascii="Bodoni 72 Book" w:hAnsi="Bodoni 72 Book"/>
                <w:sz w:val="22"/>
                <w:szCs w:val="22"/>
              </w:rPr>
              <w:t>Comments</w:t>
            </w:r>
          </w:p>
        </w:tc>
        <w:tc>
          <w:tcPr>
            <w:tcW w:w="3578" w:type="dxa"/>
            <w:shd w:val="clear" w:color="auto" w:fill="C9B0AC"/>
            <w:vAlign w:val="center"/>
          </w:tcPr>
          <w:p w14:paraId="45581901" w14:textId="77777777" w:rsidR="00EE744F" w:rsidRPr="00EE744F" w:rsidRDefault="00EE744F" w:rsidP="00EE744F">
            <w:pPr>
              <w:jc w:val="center"/>
              <w:rPr>
                <w:rFonts w:ascii="Bodoni 72 Book" w:hAnsi="Bodoni 72 Book"/>
                <w:sz w:val="22"/>
                <w:szCs w:val="22"/>
              </w:rPr>
            </w:pPr>
            <w:r w:rsidRPr="00EE744F">
              <w:rPr>
                <w:rFonts w:ascii="Bodoni 72 Book" w:hAnsi="Bodoni 72 Book"/>
                <w:sz w:val="22"/>
                <w:szCs w:val="22"/>
              </w:rPr>
              <w:t>Means of verification</w:t>
            </w:r>
          </w:p>
        </w:tc>
      </w:tr>
      <w:tr w:rsidR="00EE744F" w:rsidRPr="00EE744F" w14:paraId="3B62695E" w14:textId="77777777" w:rsidTr="00EE744F">
        <w:tc>
          <w:tcPr>
            <w:tcW w:w="4248" w:type="dxa"/>
          </w:tcPr>
          <w:p w14:paraId="01C72E0C" w14:textId="77777777" w:rsidR="00EE744F" w:rsidRPr="00EE744F" w:rsidRDefault="00EE744F" w:rsidP="00EE744F">
            <w:pPr>
              <w:pStyle w:val="ListParagraph"/>
              <w:numPr>
                <w:ilvl w:val="0"/>
                <w:numId w:val="16"/>
              </w:numPr>
              <w:rPr>
                <w:rFonts w:ascii="Avenir Next" w:hAnsi="Avenir Next"/>
                <w:sz w:val="20"/>
                <w:szCs w:val="20"/>
              </w:rPr>
            </w:pPr>
            <w:r w:rsidRPr="00EE744F">
              <w:rPr>
                <w:rFonts w:ascii="Avenir Next" w:hAnsi="Avenir Next"/>
                <w:sz w:val="20"/>
                <w:szCs w:val="20"/>
              </w:rPr>
              <w:t>Does the revenue distribution plan or system define the institutional architecture for receiving, managing and disbursing funds?</w:t>
            </w:r>
          </w:p>
          <w:p w14:paraId="513E3995" w14:textId="77777777" w:rsidR="00EE744F" w:rsidRPr="00EE744F" w:rsidRDefault="00EE744F" w:rsidP="00CE0AF6">
            <w:pPr>
              <w:pStyle w:val="ListParagraph"/>
              <w:rPr>
                <w:rFonts w:ascii="Avenir Next" w:hAnsi="Avenir Next"/>
                <w:sz w:val="20"/>
                <w:szCs w:val="20"/>
              </w:rPr>
            </w:pPr>
          </w:p>
        </w:tc>
        <w:tc>
          <w:tcPr>
            <w:tcW w:w="2126" w:type="dxa"/>
          </w:tcPr>
          <w:p w14:paraId="5B33DDF3" w14:textId="77777777" w:rsidR="00EE744F" w:rsidRPr="00EE744F" w:rsidRDefault="00EE744F" w:rsidP="00CE0AF6">
            <w:pPr>
              <w:rPr>
                <w:rFonts w:ascii="Avenir Next" w:hAnsi="Avenir Next"/>
                <w:sz w:val="20"/>
                <w:szCs w:val="20"/>
              </w:rPr>
            </w:pPr>
          </w:p>
        </w:tc>
        <w:tc>
          <w:tcPr>
            <w:tcW w:w="4360" w:type="dxa"/>
          </w:tcPr>
          <w:p w14:paraId="6FD6956E" w14:textId="77777777" w:rsidR="00EE744F" w:rsidRPr="00EE744F" w:rsidRDefault="00EE744F" w:rsidP="00CE0AF6">
            <w:pPr>
              <w:rPr>
                <w:rFonts w:ascii="Avenir Next" w:hAnsi="Avenir Next"/>
                <w:sz w:val="20"/>
                <w:szCs w:val="20"/>
              </w:rPr>
            </w:pPr>
          </w:p>
        </w:tc>
        <w:tc>
          <w:tcPr>
            <w:tcW w:w="3578" w:type="dxa"/>
          </w:tcPr>
          <w:p w14:paraId="162F9B38" w14:textId="77777777" w:rsidR="00EE744F" w:rsidRPr="00EE744F" w:rsidRDefault="00EE744F" w:rsidP="00CE0AF6">
            <w:pPr>
              <w:rPr>
                <w:rFonts w:ascii="Avenir Next" w:hAnsi="Avenir Next"/>
                <w:sz w:val="20"/>
                <w:szCs w:val="20"/>
              </w:rPr>
            </w:pPr>
          </w:p>
        </w:tc>
      </w:tr>
      <w:tr w:rsidR="00EE744F" w:rsidRPr="00EE744F" w14:paraId="07D53802" w14:textId="77777777" w:rsidTr="00EE744F">
        <w:tc>
          <w:tcPr>
            <w:tcW w:w="4248" w:type="dxa"/>
          </w:tcPr>
          <w:p w14:paraId="49711390" w14:textId="77777777" w:rsidR="00EE744F" w:rsidRPr="00EE744F" w:rsidRDefault="00EE744F" w:rsidP="00EE744F">
            <w:pPr>
              <w:pStyle w:val="ListParagraph"/>
              <w:numPr>
                <w:ilvl w:val="0"/>
                <w:numId w:val="16"/>
              </w:numPr>
              <w:rPr>
                <w:rFonts w:ascii="Avenir Next" w:hAnsi="Avenir Next"/>
                <w:sz w:val="20"/>
                <w:szCs w:val="20"/>
              </w:rPr>
            </w:pPr>
            <w:r w:rsidRPr="00EE744F">
              <w:rPr>
                <w:rFonts w:ascii="Avenir Next" w:hAnsi="Avenir Next"/>
                <w:sz w:val="20"/>
                <w:szCs w:val="20"/>
              </w:rPr>
              <w:t xml:space="preserve">If the institutional architecture needed is not already in place and </w:t>
            </w:r>
            <w:r w:rsidRPr="00EE744F">
              <w:rPr>
                <w:rFonts w:ascii="Avenir Next" w:hAnsi="Avenir Next"/>
                <w:sz w:val="20"/>
                <w:szCs w:val="20"/>
              </w:rPr>
              <w:lastRenderedPageBreak/>
              <w:t xml:space="preserve">functioning, are there steps set-out to address this? </w:t>
            </w:r>
          </w:p>
          <w:p w14:paraId="1208620B" w14:textId="77777777" w:rsidR="00EE744F" w:rsidRPr="00EE744F" w:rsidRDefault="00EE744F" w:rsidP="00CE0AF6">
            <w:pPr>
              <w:pStyle w:val="ListParagraph"/>
              <w:rPr>
                <w:rFonts w:ascii="Avenir Next" w:hAnsi="Avenir Next"/>
                <w:sz w:val="20"/>
                <w:szCs w:val="20"/>
              </w:rPr>
            </w:pPr>
          </w:p>
        </w:tc>
        <w:tc>
          <w:tcPr>
            <w:tcW w:w="2126" w:type="dxa"/>
          </w:tcPr>
          <w:p w14:paraId="66A5F498" w14:textId="77777777" w:rsidR="00EE744F" w:rsidRPr="00EE744F" w:rsidRDefault="00EE744F" w:rsidP="00CE0AF6">
            <w:pPr>
              <w:rPr>
                <w:rFonts w:ascii="Avenir Next" w:hAnsi="Avenir Next"/>
                <w:sz w:val="20"/>
                <w:szCs w:val="20"/>
              </w:rPr>
            </w:pPr>
          </w:p>
        </w:tc>
        <w:tc>
          <w:tcPr>
            <w:tcW w:w="4360" w:type="dxa"/>
          </w:tcPr>
          <w:p w14:paraId="07A558B1" w14:textId="77777777" w:rsidR="00EE744F" w:rsidRPr="00EE744F" w:rsidRDefault="00EE744F" w:rsidP="00CE0AF6">
            <w:pPr>
              <w:rPr>
                <w:rFonts w:ascii="Avenir Next" w:hAnsi="Avenir Next"/>
                <w:sz w:val="20"/>
                <w:szCs w:val="20"/>
              </w:rPr>
            </w:pPr>
          </w:p>
        </w:tc>
        <w:tc>
          <w:tcPr>
            <w:tcW w:w="3578" w:type="dxa"/>
          </w:tcPr>
          <w:p w14:paraId="6D48403C" w14:textId="77777777" w:rsidR="00EE744F" w:rsidRPr="00EE744F" w:rsidRDefault="00EE744F" w:rsidP="00CE0AF6">
            <w:pPr>
              <w:rPr>
                <w:rFonts w:ascii="Avenir Next" w:hAnsi="Avenir Next"/>
                <w:sz w:val="20"/>
                <w:szCs w:val="20"/>
              </w:rPr>
            </w:pPr>
          </w:p>
        </w:tc>
      </w:tr>
      <w:tr w:rsidR="00EE744F" w:rsidRPr="00EE744F" w14:paraId="39F04CCC" w14:textId="77777777" w:rsidTr="00EE744F">
        <w:tc>
          <w:tcPr>
            <w:tcW w:w="4248" w:type="dxa"/>
          </w:tcPr>
          <w:p w14:paraId="19D26218" w14:textId="77777777" w:rsidR="00EE744F" w:rsidRPr="00EE744F" w:rsidRDefault="00EE744F" w:rsidP="00EE744F">
            <w:pPr>
              <w:pStyle w:val="ListParagraph"/>
              <w:numPr>
                <w:ilvl w:val="0"/>
                <w:numId w:val="16"/>
              </w:numPr>
              <w:rPr>
                <w:rFonts w:ascii="Avenir Next" w:hAnsi="Avenir Next"/>
                <w:sz w:val="20"/>
                <w:szCs w:val="20"/>
              </w:rPr>
            </w:pPr>
            <w:r w:rsidRPr="00EE744F">
              <w:rPr>
                <w:rFonts w:ascii="Avenir Next" w:hAnsi="Avenir Next"/>
                <w:sz w:val="20"/>
                <w:szCs w:val="20"/>
              </w:rPr>
              <w:t>Does the revenue distribution plan or system define the structures and processes for delivery of benefits/revenues?</w:t>
            </w:r>
          </w:p>
          <w:p w14:paraId="370A037E" w14:textId="77777777" w:rsidR="00EE744F" w:rsidRPr="00EE744F" w:rsidRDefault="00EE744F" w:rsidP="00CE0AF6">
            <w:pPr>
              <w:pStyle w:val="ListParagraph"/>
              <w:rPr>
                <w:rFonts w:ascii="Avenir Next" w:hAnsi="Avenir Next"/>
                <w:sz w:val="20"/>
                <w:szCs w:val="20"/>
              </w:rPr>
            </w:pPr>
          </w:p>
        </w:tc>
        <w:tc>
          <w:tcPr>
            <w:tcW w:w="2126" w:type="dxa"/>
          </w:tcPr>
          <w:p w14:paraId="1634CB46" w14:textId="77777777" w:rsidR="00EE744F" w:rsidRPr="00EE744F" w:rsidRDefault="00EE744F" w:rsidP="00CE0AF6">
            <w:pPr>
              <w:rPr>
                <w:rFonts w:ascii="Avenir Next" w:hAnsi="Avenir Next"/>
                <w:sz w:val="20"/>
                <w:szCs w:val="20"/>
              </w:rPr>
            </w:pPr>
          </w:p>
        </w:tc>
        <w:tc>
          <w:tcPr>
            <w:tcW w:w="4360" w:type="dxa"/>
          </w:tcPr>
          <w:p w14:paraId="0266EF63" w14:textId="77777777" w:rsidR="00EE744F" w:rsidRPr="00EE744F" w:rsidRDefault="00EE744F" w:rsidP="00CE0AF6">
            <w:pPr>
              <w:rPr>
                <w:rFonts w:ascii="Avenir Next" w:hAnsi="Avenir Next"/>
                <w:sz w:val="20"/>
                <w:szCs w:val="20"/>
              </w:rPr>
            </w:pPr>
          </w:p>
        </w:tc>
        <w:tc>
          <w:tcPr>
            <w:tcW w:w="3578" w:type="dxa"/>
          </w:tcPr>
          <w:p w14:paraId="41FA49DC" w14:textId="77777777" w:rsidR="00EE744F" w:rsidRPr="00EE744F" w:rsidRDefault="00EE744F" w:rsidP="00CE0AF6">
            <w:pPr>
              <w:rPr>
                <w:rFonts w:ascii="Avenir Next" w:hAnsi="Avenir Next"/>
                <w:sz w:val="20"/>
                <w:szCs w:val="20"/>
              </w:rPr>
            </w:pPr>
          </w:p>
        </w:tc>
      </w:tr>
      <w:tr w:rsidR="00EE744F" w:rsidRPr="00EE744F" w14:paraId="72F35905" w14:textId="77777777" w:rsidTr="00EE744F">
        <w:tc>
          <w:tcPr>
            <w:tcW w:w="4248" w:type="dxa"/>
          </w:tcPr>
          <w:p w14:paraId="52BF10B7" w14:textId="77777777" w:rsidR="00EE744F" w:rsidRPr="00EE744F" w:rsidRDefault="00EE744F" w:rsidP="00EE744F">
            <w:pPr>
              <w:pStyle w:val="ListParagraph"/>
              <w:numPr>
                <w:ilvl w:val="0"/>
                <w:numId w:val="16"/>
              </w:numPr>
              <w:rPr>
                <w:rFonts w:ascii="Avenir Next" w:hAnsi="Avenir Next"/>
                <w:sz w:val="20"/>
                <w:szCs w:val="20"/>
              </w:rPr>
            </w:pPr>
            <w:r w:rsidRPr="00EE744F">
              <w:rPr>
                <w:rFonts w:ascii="Avenir Next" w:hAnsi="Avenir Next"/>
                <w:sz w:val="20"/>
                <w:szCs w:val="20"/>
              </w:rPr>
              <w:t>Does the revenue distribution plan or system define the decision-making structures and processes for receiving, managing and disbursing funds?</w:t>
            </w:r>
            <w:r w:rsidRPr="00EE744F">
              <w:rPr>
                <w:rStyle w:val="FootnoteReference"/>
                <w:rFonts w:ascii="Avenir Next" w:hAnsi="Avenir Next"/>
                <w:sz w:val="20"/>
                <w:szCs w:val="20"/>
              </w:rPr>
              <w:footnoteReference w:id="9"/>
            </w:r>
          </w:p>
          <w:p w14:paraId="06F117D2" w14:textId="77777777" w:rsidR="00EE744F" w:rsidRPr="00EE744F" w:rsidRDefault="00EE744F" w:rsidP="00CE0AF6">
            <w:pPr>
              <w:rPr>
                <w:rFonts w:ascii="Avenir Next" w:eastAsia="Calibri" w:hAnsi="Avenir Next" w:cs="Arial"/>
                <w:sz w:val="20"/>
                <w:szCs w:val="20"/>
              </w:rPr>
            </w:pPr>
          </w:p>
        </w:tc>
        <w:tc>
          <w:tcPr>
            <w:tcW w:w="2126" w:type="dxa"/>
          </w:tcPr>
          <w:p w14:paraId="6A2B96DF" w14:textId="77777777" w:rsidR="00EE744F" w:rsidRPr="00EE744F" w:rsidRDefault="00EE744F" w:rsidP="00CE0AF6">
            <w:pPr>
              <w:rPr>
                <w:rFonts w:ascii="Avenir Next" w:hAnsi="Avenir Next"/>
                <w:sz w:val="20"/>
                <w:szCs w:val="20"/>
              </w:rPr>
            </w:pPr>
          </w:p>
        </w:tc>
        <w:tc>
          <w:tcPr>
            <w:tcW w:w="4360" w:type="dxa"/>
          </w:tcPr>
          <w:p w14:paraId="2547E312" w14:textId="77777777" w:rsidR="00EE744F" w:rsidRPr="00EE744F" w:rsidRDefault="00EE744F" w:rsidP="00CE0AF6">
            <w:pPr>
              <w:rPr>
                <w:rFonts w:ascii="Avenir Next" w:hAnsi="Avenir Next"/>
                <w:sz w:val="20"/>
                <w:szCs w:val="20"/>
              </w:rPr>
            </w:pPr>
          </w:p>
        </w:tc>
        <w:tc>
          <w:tcPr>
            <w:tcW w:w="3578" w:type="dxa"/>
          </w:tcPr>
          <w:p w14:paraId="51DEFF42" w14:textId="77777777" w:rsidR="00EE744F" w:rsidRPr="00EE744F" w:rsidRDefault="00EE744F" w:rsidP="00CE0AF6">
            <w:pPr>
              <w:rPr>
                <w:rFonts w:ascii="Avenir Next" w:hAnsi="Avenir Next"/>
                <w:sz w:val="20"/>
                <w:szCs w:val="20"/>
              </w:rPr>
            </w:pPr>
          </w:p>
        </w:tc>
      </w:tr>
      <w:tr w:rsidR="00EE744F" w:rsidRPr="00EE744F" w14:paraId="49B9D958" w14:textId="77777777" w:rsidTr="00EE744F">
        <w:tc>
          <w:tcPr>
            <w:tcW w:w="14312" w:type="dxa"/>
            <w:gridSpan w:val="4"/>
            <w:shd w:val="clear" w:color="auto" w:fill="573B46"/>
            <w:vAlign w:val="center"/>
          </w:tcPr>
          <w:p w14:paraId="7CAB110B" w14:textId="77777777" w:rsidR="00EE744F" w:rsidRPr="00EE744F" w:rsidRDefault="00EE744F" w:rsidP="00EE744F">
            <w:pPr>
              <w:rPr>
                <w:rFonts w:ascii="Avenir Next Ultra Light" w:hAnsi="Avenir Next Ultra Light"/>
                <w:b/>
                <w:bCs/>
                <w:color w:val="FFFFFF" w:themeColor="background1"/>
              </w:rPr>
            </w:pPr>
            <w:r w:rsidRPr="00EE744F">
              <w:rPr>
                <w:rFonts w:ascii="Avenir Next Ultra Light" w:hAnsi="Avenir Next Ultra Light" w:cs="Calibri"/>
                <w:b/>
                <w:bCs/>
                <w:color w:val="FFFFFF" w:themeColor="background1"/>
              </w:rPr>
              <w:t>Monitoring and evaluation</w:t>
            </w:r>
          </w:p>
        </w:tc>
      </w:tr>
      <w:tr w:rsidR="00EE744F" w:rsidRPr="00EE744F" w14:paraId="6D1CE7DF" w14:textId="77777777" w:rsidTr="00EE744F">
        <w:tc>
          <w:tcPr>
            <w:tcW w:w="4248" w:type="dxa"/>
            <w:shd w:val="clear" w:color="auto" w:fill="C9B0AC"/>
            <w:vAlign w:val="center"/>
          </w:tcPr>
          <w:p w14:paraId="79D3D2AB" w14:textId="77777777" w:rsidR="00EE744F" w:rsidRPr="00EE744F" w:rsidRDefault="00EE744F" w:rsidP="00EE744F">
            <w:pPr>
              <w:jc w:val="center"/>
              <w:rPr>
                <w:rFonts w:ascii="Bodoni 72 Book" w:hAnsi="Bodoni 72 Book"/>
                <w:sz w:val="22"/>
                <w:szCs w:val="22"/>
              </w:rPr>
            </w:pPr>
            <w:r w:rsidRPr="00EE744F">
              <w:rPr>
                <w:rFonts w:ascii="Bodoni 72 Book" w:hAnsi="Bodoni 72 Book"/>
                <w:sz w:val="22"/>
                <w:szCs w:val="22"/>
              </w:rPr>
              <w:t>Questions</w:t>
            </w:r>
          </w:p>
        </w:tc>
        <w:tc>
          <w:tcPr>
            <w:tcW w:w="2126" w:type="dxa"/>
            <w:shd w:val="clear" w:color="auto" w:fill="C9B0AC"/>
            <w:vAlign w:val="center"/>
          </w:tcPr>
          <w:p w14:paraId="4E45D1D2" w14:textId="77777777" w:rsidR="00EE744F" w:rsidRPr="00EE744F" w:rsidRDefault="00EE744F" w:rsidP="00EE744F">
            <w:pPr>
              <w:jc w:val="center"/>
              <w:rPr>
                <w:rFonts w:ascii="Bodoni 72 Book" w:hAnsi="Bodoni 72 Book"/>
                <w:sz w:val="22"/>
                <w:szCs w:val="22"/>
              </w:rPr>
            </w:pPr>
            <w:r w:rsidRPr="00EE744F">
              <w:rPr>
                <w:rFonts w:ascii="Bodoni 72 Book" w:hAnsi="Bodoni 72 Book"/>
                <w:sz w:val="22"/>
                <w:szCs w:val="22"/>
              </w:rPr>
              <w:t>Scoring</w:t>
            </w:r>
          </w:p>
          <w:p w14:paraId="678F4E1D" w14:textId="77777777" w:rsidR="00EE744F" w:rsidRPr="00EE744F" w:rsidRDefault="00EE744F" w:rsidP="00EE744F">
            <w:pPr>
              <w:jc w:val="center"/>
              <w:rPr>
                <w:rFonts w:ascii="Bodoni 72 Book" w:hAnsi="Bodoni 72 Book"/>
                <w:sz w:val="22"/>
                <w:szCs w:val="22"/>
              </w:rPr>
            </w:pPr>
            <w:r w:rsidRPr="00EE744F">
              <w:rPr>
                <w:rFonts w:ascii="Bodoni 72 Book" w:hAnsi="Bodoni 72 Book"/>
                <w:sz w:val="22"/>
                <w:szCs w:val="22"/>
              </w:rPr>
              <w:t>(Yes/No/Partially)</w:t>
            </w:r>
          </w:p>
        </w:tc>
        <w:tc>
          <w:tcPr>
            <w:tcW w:w="4360" w:type="dxa"/>
            <w:shd w:val="clear" w:color="auto" w:fill="C9B0AC"/>
            <w:vAlign w:val="center"/>
          </w:tcPr>
          <w:p w14:paraId="7FB48CCB" w14:textId="77777777" w:rsidR="00EE744F" w:rsidRPr="00EE744F" w:rsidRDefault="00EE744F" w:rsidP="00EE744F">
            <w:pPr>
              <w:jc w:val="center"/>
              <w:rPr>
                <w:rFonts w:ascii="Bodoni 72 Book" w:hAnsi="Bodoni 72 Book"/>
                <w:sz w:val="22"/>
                <w:szCs w:val="22"/>
              </w:rPr>
            </w:pPr>
            <w:r w:rsidRPr="00EE744F">
              <w:rPr>
                <w:rFonts w:ascii="Bodoni 72 Book" w:hAnsi="Bodoni 72 Book"/>
                <w:sz w:val="22"/>
                <w:szCs w:val="22"/>
              </w:rPr>
              <w:t>Comments</w:t>
            </w:r>
          </w:p>
        </w:tc>
        <w:tc>
          <w:tcPr>
            <w:tcW w:w="3578" w:type="dxa"/>
            <w:shd w:val="clear" w:color="auto" w:fill="C9B0AC"/>
            <w:vAlign w:val="center"/>
          </w:tcPr>
          <w:p w14:paraId="4C8A34EB" w14:textId="77777777" w:rsidR="00EE744F" w:rsidRPr="00EE744F" w:rsidRDefault="00EE744F" w:rsidP="00EE744F">
            <w:pPr>
              <w:jc w:val="center"/>
              <w:rPr>
                <w:rFonts w:ascii="Bodoni 72 Book" w:hAnsi="Bodoni 72 Book"/>
                <w:sz w:val="22"/>
                <w:szCs w:val="22"/>
              </w:rPr>
            </w:pPr>
            <w:r w:rsidRPr="00EE744F">
              <w:rPr>
                <w:rFonts w:ascii="Bodoni 72 Book" w:hAnsi="Bodoni 72 Book"/>
                <w:sz w:val="22"/>
                <w:szCs w:val="22"/>
              </w:rPr>
              <w:t>Means of verification</w:t>
            </w:r>
          </w:p>
        </w:tc>
      </w:tr>
      <w:tr w:rsidR="00EE744F" w:rsidRPr="00EE744F" w14:paraId="33861EE6" w14:textId="77777777" w:rsidTr="00EE744F">
        <w:tc>
          <w:tcPr>
            <w:tcW w:w="4248" w:type="dxa"/>
          </w:tcPr>
          <w:p w14:paraId="08F84150" w14:textId="4D81ADCD" w:rsidR="00EE744F" w:rsidRPr="00EE744F" w:rsidRDefault="00EE744F" w:rsidP="00EE744F">
            <w:pPr>
              <w:pStyle w:val="ListParagraph"/>
              <w:numPr>
                <w:ilvl w:val="0"/>
                <w:numId w:val="16"/>
              </w:numPr>
              <w:rPr>
                <w:rFonts w:ascii="Avenir Next" w:hAnsi="Avenir Next"/>
                <w:sz w:val="20"/>
                <w:szCs w:val="20"/>
              </w:rPr>
            </w:pPr>
            <w:r w:rsidRPr="00EE744F">
              <w:rPr>
                <w:rFonts w:ascii="Avenir Next" w:hAnsi="Avenir Next"/>
                <w:sz w:val="20"/>
                <w:szCs w:val="20"/>
              </w:rPr>
              <w:t xml:space="preserve">Does the revenue distribution plan or system </w:t>
            </w:r>
            <w:r w:rsidR="00C90D89" w:rsidRPr="00EE744F">
              <w:rPr>
                <w:rFonts w:ascii="Avenir Next" w:hAnsi="Avenir Next"/>
                <w:sz w:val="20"/>
                <w:szCs w:val="20"/>
              </w:rPr>
              <w:t>incorporate</w:t>
            </w:r>
            <w:r w:rsidRPr="00EE744F">
              <w:rPr>
                <w:rFonts w:ascii="Avenir Next" w:hAnsi="Avenir Next"/>
                <w:sz w:val="20"/>
                <w:szCs w:val="20"/>
              </w:rPr>
              <w:t xml:space="preserve"> mechanisms for the monitoring and evaluation of its performance?</w:t>
            </w:r>
          </w:p>
          <w:p w14:paraId="36EE51BC" w14:textId="77777777" w:rsidR="00EE744F" w:rsidRPr="00EE744F" w:rsidRDefault="00EE744F" w:rsidP="00CE0AF6">
            <w:pPr>
              <w:pStyle w:val="ListParagraph"/>
              <w:rPr>
                <w:rFonts w:ascii="Avenir Next" w:hAnsi="Avenir Next"/>
                <w:sz w:val="20"/>
                <w:szCs w:val="20"/>
              </w:rPr>
            </w:pPr>
          </w:p>
        </w:tc>
        <w:tc>
          <w:tcPr>
            <w:tcW w:w="2126" w:type="dxa"/>
          </w:tcPr>
          <w:p w14:paraId="6FC2718F" w14:textId="77777777" w:rsidR="00EE744F" w:rsidRPr="00EE744F" w:rsidRDefault="00EE744F" w:rsidP="00CE0AF6">
            <w:pPr>
              <w:rPr>
                <w:rFonts w:ascii="Avenir Next" w:hAnsi="Avenir Next"/>
                <w:sz w:val="20"/>
                <w:szCs w:val="20"/>
              </w:rPr>
            </w:pPr>
          </w:p>
        </w:tc>
        <w:tc>
          <w:tcPr>
            <w:tcW w:w="4360" w:type="dxa"/>
          </w:tcPr>
          <w:p w14:paraId="118B7A1B" w14:textId="77777777" w:rsidR="00EE744F" w:rsidRPr="00EE744F" w:rsidRDefault="00EE744F" w:rsidP="00CE0AF6">
            <w:pPr>
              <w:rPr>
                <w:rFonts w:ascii="Avenir Next" w:hAnsi="Avenir Next"/>
                <w:sz w:val="20"/>
                <w:szCs w:val="20"/>
              </w:rPr>
            </w:pPr>
          </w:p>
        </w:tc>
        <w:tc>
          <w:tcPr>
            <w:tcW w:w="3578" w:type="dxa"/>
          </w:tcPr>
          <w:p w14:paraId="2ED81ABA" w14:textId="77777777" w:rsidR="00EE744F" w:rsidRPr="00EE744F" w:rsidRDefault="00EE744F" w:rsidP="00CE0AF6">
            <w:pPr>
              <w:rPr>
                <w:rFonts w:ascii="Avenir Next" w:hAnsi="Avenir Next"/>
                <w:sz w:val="20"/>
                <w:szCs w:val="20"/>
              </w:rPr>
            </w:pPr>
          </w:p>
        </w:tc>
      </w:tr>
      <w:tr w:rsidR="00EE744F" w:rsidRPr="00EE744F" w14:paraId="26363BB5" w14:textId="77777777" w:rsidTr="00EE744F">
        <w:tc>
          <w:tcPr>
            <w:tcW w:w="4248" w:type="dxa"/>
          </w:tcPr>
          <w:p w14:paraId="3B5C226A" w14:textId="77777777" w:rsidR="00EE744F" w:rsidRPr="00EE744F" w:rsidRDefault="00EE744F" w:rsidP="00EE744F">
            <w:pPr>
              <w:pStyle w:val="ListParagraph"/>
              <w:numPr>
                <w:ilvl w:val="0"/>
                <w:numId w:val="16"/>
              </w:numPr>
              <w:rPr>
                <w:rFonts w:ascii="Avenir Next" w:hAnsi="Avenir Next"/>
                <w:sz w:val="20"/>
                <w:szCs w:val="20"/>
              </w:rPr>
            </w:pPr>
            <w:r w:rsidRPr="00EE744F">
              <w:rPr>
                <w:rFonts w:ascii="Avenir Next" w:hAnsi="Avenir Next"/>
                <w:sz w:val="20"/>
                <w:szCs w:val="20"/>
              </w:rPr>
              <w:t>Do the monitoring provisions describe the mechanisms to ensure its correct implementation?</w:t>
            </w:r>
          </w:p>
          <w:p w14:paraId="58A11393" w14:textId="77777777" w:rsidR="00EE744F" w:rsidRPr="00EE744F" w:rsidRDefault="00EE744F" w:rsidP="00CE0AF6">
            <w:pPr>
              <w:pStyle w:val="ListParagraph"/>
              <w:rPr>
                <w:rFonts w:ascii="Avenir Next" w:hAnsi="Avenir Next"/>
                <w:sz w:val="20"/>
                <w:szCs w:val="20"/>
              </w:rPr>
            </w:pPr>
          </w:p>
        </w:tc>
        <w:tc>
          <w:tcPr>
            <w:tcW w:w="2126" w:type="dxa"/>
          </w:tcPr>
          <w:p w14:paraId="3678CACA" w14:textId="77777777" w:rsidR="00EE744F" w:rsidRPr="00EE744F" w:rsidRDefault="00EE744F" w:rsidP="00CE0AF6">
            <w:pPr>
              <w:rPr>
                <w:rFonts w:ascii="Avenir Next" w:hAnsi="Avenir Next"/>
                <w:sz w:val="20"/>
                <w:szCs w:val="20"/>
              </w:rPr>
            </w:pPr>
          </w:p>
        </w:tc>
        <w:tc>
          <w:tcPr>
            <w:tcW w:w="4360" w:type="dxa"/>
          </w:tcPr>
          <w:p w14:paraId="53087FCC" w14:textId="77777777" w:rsidR="00EE744F" w:rsidRPr="00EE744F" w:rsidRDefault="00EE744F" w:rsidP="00CE0AF6">
            <w:pPr>
              <w:rPr>
                <w:rFonts w:ascii="Avenir Next" w:hAnsi="Avenir Next"/>
                <w:sz w:val="20"/>
                <w:szCs w:val="20"/>
              </w:rPr>
            </w:pPr>
          </w:p>
        </w:tc>
        <w:tc>
          <w:tcPr>
            <w:tcW w:w="3578" w:type="dxa"/>
          </w:tcPr>
          <w:p w14:paraId="081B9BD7" w14:textId="77777777" w:rsidR="00EE744F" w:rsidRPr="00EE744F" w:rsidRDefault="00EE744F" w:rsidP="00CE0AF6">
            <w:pPr>
              <w:rPr>
                <w:rFonts w:ascii="Avenir Next" w:hAnsi="Avenir Next"/>
                <w:sz w:val="20"/>
                <w:szCs w:val="20"/>
              </w:rPr>
            </w:pPr>
          </w:p>
        </w:tc>
      </w:tr>
      <w:tr w:rsidR="00EE744F" w:rsidRPr="00EE744F" w14:paraId="469E7D01" w14:textId="77777777" w:rsidTr="00EE744F">
        <w:tc>
          <w:tcPr>
            <w:tcW w:w="4248" w:type="dxa"/>
          </w:tcPr>
          <w:p w14:paraId="099D55DD" w14:textId="77777777" w:rsidR="00EE744F" w:rsidRPr="00EE744F" w:rsidRDefault="00EE744F" w:rsidP="00EE744F">
            <w:pPr>
              <w:pStyle w:val="ListParagraph"/>
              <w:numPr>
                <w:ilvl w:val="0"/>
                <w:numId w:val="16"/>
              </w:numPr>
              <w:rPr>
                <w:rFonts w:ascii="Avenir Next" w:hAnsi="Avenir Next"/>
                <w:sz w:val="20"/>
                <w:szCs w:val="20"/>
              </w:rPr>
            </w:pPr>
            <w:r w:rsidRPr="00EE744F">
              <w:rPr>
                <w:rFonts w:ascii="Avenir Next" w:hAnsi="Avenir Next"/>
                <w:sz w:val="20"/>
                <w:szCs w:val="20"/>
              </w:rPr>
              <w:t xml:space="preserve">Does the revenue distribution plan or system identify and provide access to a grievance redress </w:t>
            </w:r>
            <w:r w:rsidRPr="00EE744F">
              <w:rPr>
                <w:rFonts w:ascii="Avenir Next" w:hAnsi="Avenir Next"/>
                <w:sz w:val="20"/>
                <w:szCs w:val="20"/>
              </w:rPr>
              <w:lastRenderedPageBreak/>
              <w:t>mechanism?</w:t>
            </w:r>
          </w:p>
          <w:p w14:paraId="73F3C138" w14:textId="77777777" w:rsidR="00EE744F" w:rsidRPr="00EE744F" w:rsidRDefault="00EE744F" w:rsidP="00CE0AF6">
            <w:pPr>
              <w:pStyle w:val="ListParagraph"/>
              <w:rPr>
                <w:rFonts w:ascii="Avenir Next" w:hAnsi="Avenir Next"/>
                <w:sz w:val="20"/>
                <w:szCs w:val="20"/>
              </w:rPr>
            </w:pPr>
          </w:p>
        </w:tc>
        <w:tc>
          <w:tcPr>
            <w:tcW w:w="2126" w:type="dxa"/>
          </w:tcPr>
          <w:p w14:paraId="69487B8D" w14:textId="77777777" w:rsidR="00EE744F" w:rsidRPr="00EE744F" w:rsidRDefault="00EE744F" w:rsidP="00CE0AF6">
            <w:pPr>
              <w:rPr>
                <w:rFonts w:ascii="Avenir Next" w:hAnsi="Avenir Next"/>
                <w:sz w:val="20"/>
                <w:szCs w:val="20"/>
              </w:rPr>
            </w:pPr>
          </w:p>
        </w:tc>
        <w:tc>
          <w:tcPr>
            <w:tcW w:w="4360" w:type="dxa"/>
          </w:tcPr>
          <w:p w14:paraId="1CB8B3F4" w14:textId="77777777" w:rsidR="00EE744F" w:rsidRPr="00EE744F" w:rsidRDefault="00EE744F" w:rsidP="00CE0AF6">
            <w:pPr>
              <w:rPr>
                <w:rFonts w:ascii="Avenir Next" w:hAnsi="Avenir Next"/>
                <w:sz w:val="20"/>
                <w:szCs w:val="20"/>
              </w:rPr>
            </w:pPr>
          </w:p>
        </w:tc>
        <w:tc>
          <w:tcPr>
            <w:tcW w:w="3578" w:type="dxa"/>
          </w:tcPr>
          <w:p w14:paraId="74DC6869" w14:textId="77777777" w:rsidR="00EE744F" w:rsidRPr="00EE744F" w:rsidRDefault="00EE744F" w:rsidP="00CE0AF6">
            <w:pPr>
              <w:rPr>
                <w:rFonts w:ascii="Avenir Next" w:hAnsi="Avenir Next"/>
                <w:sz w:val="20"/>
                <w:szCs w:val="20"/>
              </w:rPr>
            </w:pPr>
          </w:p>
        </w:tc>
      </w:tr>
      <w:tr w:rsidR="00EE744F" w:rsidRPr="00EE744F" w14:paraId="14758257" w14:textId="77777777" w:rsidTr="00EE744F">
        <w:tc>
          <w:tcPr>
            <w:tcW w:w="14312" w:type="dxa"/>
            <w:gridSpan w:val="4"/>
            <w:shd w:val="clear" w:color="auto" w:fill="573B46"/>
            <w:vAlign w:val="center"/>
          </w:tcPr>
          <w:p w14:paraId="492E68C1" w14:textId="77777777" w:rsidR="00EE744F" w:rsidRPr="00EE744F" w:rsidRDefault="00EE744F" w:rsidP="00EE744F">
            <w:pPr>
              <w:widowControl w:val="0"/>
              <w:autoSpaceDE w:val="0"/>
              <w:autoSpaceDN w:val="0"/>
              <w:spacing w:before="67"/>
              <w:rPr>
                <w:rFonts w:ascii="Avenir Next Ultra Light" w:hAnsi="Avenir Next Ultra Light"/>
                <w:b/>
                <w:bCs/>
                <w:color w:val="FFFFFF" w:themeColor="background1"/>
              </w:rPr>
            </w:pPr>
            <w:r w:rsidRPr="00EE744F">
              <w:rPr>
                <w:rFonts w:ascii="Avenir Next Ultra Light" w:hAnsi="Avenir Next Ultra Light"/>
                <w:b/>
                <w:bCs/>
                <w:color w:val="FFFFFF" w:themeColor="background1"/>
              </w:rPr>
              <w:t xml:space="preserve">Alignment with relevant legislation </w:t>
            </w:r>
          </w:p>
        </w:tc>
      </w:tr>
      <w:tr w:rsidR="00EE744F" w:rsidRPr="00EE744F" w14:paraId="58D7CD22" w14:textId="77777777" w:rsidTr="00EE744F">
        <w:tc>
          <w:tcPr>
            <w:tcW w:w="4248" w:type="dxa"/>
            <w:shd w:val="clear" w:color="auto" w:fill="C9B0AC"/>
            <w:vAlign w:val="center"/>
          </w:tcPr>
          <w:p w14:paraId="7B160F5B" w14:textId="77777777" w:rsidR="00EE744F" w:rsidRPr="00EE744F" w:rsidRDefault="00EE744F" w:rsidP="00EE744F">
            <w:pPr>
              <w:jc w:val="center"/>
              <w:rPr>
                <w:rFonts w:ascii="Bodoni 72 Book" w:hAnsi="Bodoni 72 Book"/>
              </w:rPr>
            </w:pPr>
            <w:r w:rsidRPr="00EE744F">
              <w:rPr>
                <w:rFonts w:ascii="Bodoni 72 Book" w:hAnsi="Bodoni 72 Book"/>
              </w:rPr>
              <w:t>Questions</w:t>
            </w:r>
          </w:p>
        </w:tc>
        <w:tc>
          <w:tcPr>
            <w:tcW w:w="2126" w:type="dxa"/>
            <w:shd w:val="clear" w:color="auto" w:fill="C9B0AC"/>
            <w:vAlign w:val="center"/>
          </w:tcPr>
          <w:p w14:paraId="18580867" w14:textId="77777777" w:rsidR="00EE744F" w:rsidRPr="00EE744F" w:rsidRDefault="00EE744F" w:rsidP="00EE744F">
            <w:pPr>
              <w:jc w:val="center"/>
              <w:rPr>
                <w:rFonts w:ascii="Bodoni 72 Book" w:hAnsi="Bodoni 72 Book"/>
              </w:rPr>
            </w:pPr>
            <w:r w:rsidRPr="00EE744F">
              <w:rPr>
                <w:rFonts w:ascii="Bodoni 72 Book" w:hAnsi="Bodoni 72 Book"/>
              </w:rPr>
              <w:t>Scoring</w:t>
            </w:r>
          </w:p>
          <w:p w14:paraId="044711F1" w14:textId="77777777" w:rsidR="00EE744F" w:rsidRPr="00EE744F" w:rsidRDefault="00EE744F" w:rsidP="00EE744F">
            <w:pPr>
              <w:jc w:val="center"/>
              <w:rPr>
                <w:rFonts w:ascii="Bodoni 72 Book" w:hAnsi="Bodoni 72 Book"/>
              </w:rPr>
            </w:pPr>
            <w:r w:rsidRPr="00EE744F">
              <w:rPr>
                <w:rFonts w:ascii="Bodoni 72 Book" w:hAnsi="Bodoni 72 Book"/>
              </w:rPr>
              <w:t>(Yes/No/Partially)</w:t>
            </w:r>
          </w:p>
        </w:tc>
        <w:tc>
          <w:tcPr>
            <w:tcW w:w="4360" w:type="dxa"/>
            <w:shd w:val="clear" w:color="auto" w:fill="C9B0AC"/>
            <w:vAlign w:val="center"/>
          </w:tcPr>
          <w:p w14:paraId="3587F8B5" w14:textId="77777777" w:rsidR="00EE744F" w:rsidRPr="00EE744F" w:rsidRDefault="00EE744F" w:rsidP="00EE744F">
            <w:pPr>
              <w:jc w:val="center"/>
              <w:rPr>
                <w:rFonts w:ascii="Bodoni 72 Book" w:hAnsi="Bodoni 72 Book"/>
              </w:rPr>
            </w:pPr>
            <w:r w:rsidRPr="00EE744F">
              <w:rPr>
                <w:rFonts w:ascii="Bodoni 72 Book" w:hAnsi="Bodoni 72 Book"/>
              </w:rPr>
              <w:t>Comments</w:t>
            </w:r>
          </w:p>
        </w:tc>
        <w:tc>
          <w:tcPr>
            <w:tcW w:w="3578" w:type="dxa"/>
            <w:shd w:val="clear" w:color="auto" w:fill="C9B0AC"/>
            <w:vAlign w:val="center"/>
          </w:tcPr>
          <w:p w14:paraId="3C5D0D66" w14:textId="77777777" w:rsidR="00EE744F" w:rsidRPr="00EE744F" w:rsidRDefault="00EE744F" w:rsidP="00EE744F">
            <w:pPr>
              <w:jc w:val="center"/>
              <w:rPr>
                <w:rFonts w:ascii="Bodoni 72 Book" w:hAnsi="Bodoni 72 Book"/>
              </w:rPr>
            </w:pPr>
            <w:r w:rsidRPr="00EE744F">
              <w:rPr>
                <w:rFonts w:ascii="Bodoni 72 Book" w:hAnsi="Bodoni 72 Book"/>
              </w:rPr>
              <w:t>Means of verification</w:t>
            </w:r>
          </w:p>
        </w:tc>
      </w:tr>
      <w:tr w:rsidR="00EE744F" w:rsidRPr="00EE744F" w14:paraId="06A33772" w14:textId="77777777" w:rsidTr="00EE744F">
        <w:tc>
          <w:tcPr>
            <w:tcW w:w="4248" w:type="dxa"/>
          </w:tcPr>
          <w:p w14:paraId="69E56B57" w14:textId="77777777" w:rsidR="00EE744F" w:rsidRPr="00EE744F" w:rsidRDefault="00EE744F" w:rsidP="00EE744F">
            <w:pPr>
              <w:pStyle w:val="ListParagraph"/>
              <w:numPr>
                <w:ilvl w:val="0"/>
                <w:numId w:val="16"/>
              </w:numPr>
              <w:rPr>
                <w:rFonts w:ascii="Avenir Next" w:hAnsi="Avenir Next"/>
                <w:sz w:val="20"/>
                <w:szCs w:val="20"/>
              </w:rPr>
            </w:pPr>
            <w:r w:rsidRPr="00EE744F">
              <w:rPr>
                <w:rFonts w:ascii="Avenir Next" w:hAnsi="Avenir Next"/>
                <w:sz w:val="20"/>
                <w:szCs w:val="20"/>
              </w:rPr>
              <w:t xml:space="preserve">Was the revenue distribution plan or system constructed with the participation of interested stakeholders? </w:t>
            </w:r>
          </w:p>
        </w:tc>
        <w:tc>
          <w:tcPr>
            <w:tcW w:w="2126" w:type="dxa"/>
          </w:tcPr>
          <w:p w14:paraId="2153C837" w14:textId="77777777" w:rsidR="00EE744F" w:rsidRPr="00EE744F" w:rsidRDefault="00EE744F" w:rsidP="00CE0AF6">
            <w:pPr>
              <w:rPr>
                <w:rFonts w:ascii="Avenir Next" w:hAnsi="Avenir Next"/>
                <w:sz w:val="20"/>
                <w:szCs w:val="20"/>
              </w:rPr>
            </w:pPr>
          </w:p>
        </w:tc>
        <w:tc>
          <w:tcPr>
            <w:tcW w:w="4360" w:type="dxa"/>
          </w:tcPr>
          <w:p w14:paraId="2634B721" w14:textId="77777777" w:rsidR="00EE744F" w:rsidRPr="00EE744F" w:rsidRDefault="00EE744F" w:rsidP="00CE0AF6">
            <w:pPr>
              <w:rPr>
                <w:rFonts w:ascii="Avenir Next" w:hAnsi="Avenir Next"/>
                <w:sz w:val="20"/>
                <w:szCs w:val="20"/>
              </w:rPr>
            </w:pPr>
          </w:p>
        </w:tc>
        <w:tc>
          <w:tcPr>
            <w:tcW w:w="3578" w:type="dxa"/>
          </w:tcPr>
          <w:p w14:paraId="4F623BF6" w14:textId="77777777" w:rsidR="00EE744F" w:rsidRPr="00EE744F" w:rsidRDefault="00EE744F" w:rsidP="00CE0AF6">
            <w:pPr>
              <w:rPr>
                <w:rFonts w:ascii="Avenir Next" w:hAnsi="Avenir Next"/>
                <w:sz w:val="20"/>
                <w:szCs w:val="20"/>
              </w:rPr>
            </w:pPr>
          </w:p>
        </w:tc>
      </w:tr>
      <w:tr w:rsidR="00EE744F" w:rsidRPr="00EE744F" w14:paraId="4B5B5C8D" w14:textId="77777777" w:rsidTr="00EE744F">
        <w:tc>
          <w:tcPr>
            <w:tcW w:w="4248" w:type="dxa"/>
          </w:tcPr>
          <w:p w14:paraId="3E92B32E" w14:textId="77777777" w:rsidR="00EE744F" w:rsidRPr="00EE744F" w:rsidRDefault="00EE744F" w:rsidP="00EE744F">
            <w:pPr>
              <w:pStyle w:val="ListParagraph"/>
              <w:numPr>
                <w:ilvl w:val="0"/>
                <w:numId w:val="16"/>
              </w:numPr>
              <w:rPr>
                <w:rFonts w:ascii="Avenir Next" w:hAnsi="Avenir Next"/>
                <w:sz w:val="20"/>
                <w:szCs w:val="20"/>
              </w:rPr>
            </w:pPr>
            <w:r w:rsidRPr="00EE744F">
              <w:rPr>
                <w:rFonts w:ascii="Avenir Next" w:hAnsi="Avenir Next"/>
                <w:sz w:val="20"/>
                <w:szCs w:val="20"/>
              </w:rPr>
              <w:t>Is the revenue distribution plan or system constructed in alignment with the jurisdiction’s legislation and regulation regarding respecting IP and LC rights?</w:t>
            </w:r>
          </w:p>
        </w:tc>
        <w:tc>
          <w:tcPr>
            <w:tcW w:w="2126" w:type="dxa"/>
          </w:tcPr>
          <w:p w14:paraId="1CF0D058" w14:textId="77777777" w:rsidR="00EE744F" w:rsidRPr="00EE744F" w:rsidRDefault="00EE744F" w:rsidP="00CE0AF6">
            <w:pPr>
              <w:rPr>
                <w:rFonts w:ascii="Avenir Next" w:hAnsi="Avenir Next"/>
                <w:sz w:val="20"/>
                <w:szCs w:val="20"/>
              </w:rPr>
            </w:pPr>
          </w:p>
        </w:tc>
        <w:tc>
          <w:tcPr>
            <w:tcW w:w="4360" w:type="dxa"/>
          </w:tcPr>
          <w:p w14:paraId="5D757145" w14:textId="77777777" w:rsidR="00EE744F" w:rsidRPr="00EE744F" w:rsidRDefault="00EE744F" w:rsidP="00CE0AF6">
            <w:pPr>
              <w:rPr>
                <w:rFonts w:ascii="Avenir Next" w:hAnsi="Avenir Next"/>
                <w:sz w:val="20"/>
                <w:szCs w:val="20"/>
              </w:rPr>
            </w:pPr>
          </w:p>
        </w:tc>
        <w:tc>
          <w:tcPr>
            <w:tcW w:w="3578" w:type="dxa"/>
          </w:tcPr>
          <w:p w14:paraId="7D8751D5" w14:textId="77777777" w:rsidR="00EE744F" w:rsidRPr="00EE744F" w:rsidRDefault="00EE744F" w:rsidP="00CE0AF6">
            <w:pPr>
              <w:rPr>
                <w:rFonts w:ascii="Avenir Next" w:hAnsi="Avenir Next"/>
                <w:sz w:val="20"/>
                <w:szCs w:val="20"/>
              </w:rPr>
            </w:pPr>
          </w:p>
        </w:tc>
      </w:tr>
      <w:tr w:rsidR="00EE744F" w:rsidRPr="00EE744F" w14:paraId="3D6C3CFD" w14:textId="77777777" w:rsidTr="00EE744F">
        <w:trPr>
          <w:trHeight w:val="300"/>
        </w:trPr>
        <w:tc>
          <w:tcPr>
            <w:tcW w:w="4248" w:type="dxa"/>
          </w:tcPr>
          <w:p w14:paraId="0AFA76F3" w14:textId="675BBA26" w:rsidR="00EE744F" w:rsidRPr="00EE744F" w:rsidRDefault="00EE744F" w:rsidP="00EE744F">
            <w:pPr>
              <w:pStyle w:val="ListParagraph"/>
              <w:numPr>
                <w:ilvl w:val="0"/>
                <w:numId w:val="16"/>
              </w:numPr>
              <w:rPr>
                <w:rFonts w:ascii="Avenir Next" w:hAnsi="Avenir Next"/>
                <w:sz w:val="20"/>
                <w:szCs w:val="20"/>
              </w:rPr>
            </w:pPr>
            <w:r w:rsidRPr="00EE744F">
              <w:rPr>
                <w:rFonts w:ascii="Avenir Next" w:hAnsi="Avenir Next"/>
                <w:sz w:val="20"/>
                <w:szCs w:val="20"/>
              </w:rPr>
              <w:t xml:space="preserve">Is the revenue distribution plan or system aligned with relevant legislation regarding the recognition and protections of </w:t>
            </w:r>
            <w:r w:rsidR="00C90D89" w:rsidRPr="00EE744F">
              <w:rPr>
                <w:rFonts w:ascii="Avenir Next" w:hAnsi="Avenir Next"/>
                <w:sz w:val="20"/>
                <w:szCs w:val="20"/>
              </w:rPr>
              <w:t>stakeholders’</w:t>
            </w:r>
            <w:r w:rsidRPr="00EE744F">
              <w:rPr>
                <w:rFonts w:ascii="Avenir Next" w:hAnsi="Avenir Next"/>
                <w:sz w:val="20"/>
                <w:szCs w:val="20"/>
              </w:rPr>
              <w:t xml:space="preserve"> land tenure rights (emphasis on indigenous peoples and local communities rights)?</w:t>
            </w:r>
          </w:p>
        </w:tc>
        <w:tc>
          <w:tcPr>
            <w:tcW w:w="2126" w:type="dxa"/>
          </w:tcPr>
          <w:p w14:paraId="45B20711" w14:textId="77777777" w:rsidR="00EE744F" w:rsidRPr="00EE744F" w:rsidRDefault="00EE744F" w:rsidP="00CE0AF6">
            <w:pPr>
              <w:rPr>
                <w:rFonts w:ascii="Avenir Next" w:hAnsi="Avenir Next"/>
                <w:sz w:val="20"/>
                <w:szCs w:val="20"/>
              </w:rPr>
            </w:pPr>
          </w:p>
        </w:tc>
        <w:tc>
          <w:tcPr>
            <w:tcW w:w="4360" w:type="dxa"/>
          </w:tcPr>
          <w:p w14:paraId="59C5F941" w14:textId="77777777" w:rsidR="00EE744F" w:rsidRPr="00EE744F" w:rsidRDefault="00EE744F" w:rsidP="00CE0AF6">
            <w:pPr>
              <w:rPr>
                <w:rFonts w:ascii="Avenir Next" w:hAnsi="Avenir Next"/>
                <w:sz w:val="20"/>
                <w:szCs w:val="20"/>
              </w:rPr>
            </w:pPr>
          </w:p>
        </w:tc>
        <w:tc>
          <w:tcPr>
            <w:tcW w:w="3578" w:type="dxa"/>
          </w:tcPr>
          <w:p w14:paraId="1AF829E7" w14:textId="77777777" w:rsidR="00EE744F" w:rsidRPr="00EE744F" w:rsidRDefault="00EE744F" w:rsidP="00CE0AF6">
            <w:pPr>
              <w:rPr>
                <w:rFonts w:ascii="Avenir Next" w:hAnsi="Avenir Next"/>
                <w:sz w:val="20"/>
                <w:szCs w:val="20"/>
              </w:rPr>
            </w:pPr>
          </w:p>
        </w:tc>
      </w:tr>
      <w:tr w:rsidR="00EE744F" w:rsidRPr="00EE744F" w14:paraId="287DC5E8" w14:textId="77777777" w:rsidTr="00EE744F">
        <w:tc>
          <w:tcPr>
            <w:tcW w:w="4248" w:type="dxa"/>
          </w:tcPr>
          <w:p w14:paraId="7C6C86FB" w14:textId="77777777" w:rsidR="00EE744F" w:rsidRPr="00EE744F" w:rsidRDefault="00EE744F" w:rsidP="00EE744F">
            <w:pPr>
              <w:pStyle w:val="ListParagraph"/>
              <w:numPr>
                <w:ilvl w:val="0"/>
                <w:numId w:val="16"/>
              </w:numPr>
              <w:rPr>
                <w:rFonts w:ascii="Avenir Next" w:hAnsi="Avenir Next"/>
                <w:sz w:val="20"/>
                <w:szCs w:val="20"/>
              </w:rPr>
            </w:pPr>
            <w:r w:rsidRPr="00EE744F">
              <w:rPr>
                <w:rFonts w:ascii="Avenir Next" w:hAnsi="Avenir Next"/>
                <w:sz w:val="20"/>
                <w:szCs w:val="20"/>
              </w:rPr>
              <w:t>Is the revenue distribution plan or system aligned with current national forest governance structures?</w:t>
            </w:r>
            <w:r w:rsidRPr="00EE744F">
              <w:rPr>
                <w:rStyle w:val="FootnoteReference"/>
                <w:rFonts w:ascii="Avenir Next" w:hAnsi="Avenir Next"/>
                <w:sz w:val="20"/>
                <w:szCs w:val="20"/>
              </w:rPr>
              <w:footnoteReference w:id="10"/>
            </w:r>
          </w:p>
          <w:p w14:paraId="6A83398D" w14:textId="77777777" w:rsidR="00EE744F" w:rsidRPr="00EE744F" w:rsidRDefault="00EE744F" w:rsidP="00CE0AF6">
            <w:pPr>
              <w:rPr>
                <w:rFonts w:ascii="Avenir Next" w:hAnsi="Avenir Next"/>
                <w:sz w:val="20"/>
                <w:szCs w:val="20"/>
              </w:rPr>
            </w:pPr>
          </w:p>
        </w:tc>
        <w:tc>
          <w:tcPr>
            <w:tcW w:w="2126" w:type="dxa"/>
          </w:tcPr>
          <w:p w14:paraId="4743C57E" w14:textId="77777777" w:rsidR="00EE744F" w:rsidRPr="00EE744F" w:rsidRDefault="00EE744F" w:rsidP="00CE0AF6">
            <w:pPr>
              <w:rPr>
                <w:rFonts w:ascii="Avenir Next" w:hAnsi="Avenir Next"/>
                <w:sz w:val="20"/>
                <w:szCs w:val="20"/>
              </w:rPr>
            </w:pPr>
          </w:p>
        </w:tc>
        <w:tc>
          <w:tcPr>
            <w:tcW w:w="4360" w:type="dxa"/>
          </w:tcPr>
          <w:p w14:paraId="0DFC4280" w14:textId="77777777" w:rsidR="00EE744F" w:rsidRPr="00EE744F" w:rsidRDefault="00EE744F" w:rsidP="00CE0AF6">
            <w:pPr>
              <w:rPr>
                <w:rFonts w:ascii="Avenir Next" w:hAnsi="Avenir Next"/>
                <w:sz w:val="20"/>
                <w:szCs w:val="20"/>
              </w:rPr>
            </w:pPr>
          </w:p>
        </w:tc>
        <w:tc>
          <w:tcPr>
            <w:tcW w:w="3578" w:type="dxa"/>
          </w:tcPr>
          <w:p w14:paraId="218FE62B" w14:textId="77777777" w:rsidR="00EE744F" w:rsidRPr="00EE744F" w:rsidRDefault="00EE744F" w:rsidP="00CE0AF6">
            <w:pPr>
              <w:rPr>
                <w:rFonts w:ascii="Avenir Next" w:hAnsi="Avenir Next"/>
                <w:sz w:val="20"/>
                <w:szCs w:val="20"/>
              </w:rPr>
            </w:pPr>
          </w:p>
        </w:tc>
      </w:tr>
    </w:tbl>
    <w:p w14:paraId="123EEA09" w14:textId="77777777" w:rsidR="00EE744F" w:rsidRPr="00EE744F" w:rsidRDefault="00EE744F">
      <w:pPr>
        <w:spacing w:before="120" w:after="120" w:line="336" w:lineRule="auto"/>
        <w:rPr>
          <w:rFonts w:ascii="Avenir Next" w:eastAsia="IBM Plex Sans" w:hAnsi="Avenir Next" w:cs="IBM Plex Sans"/>
          <w:color w:val="000000"/>
          <w:sz w:val="20"/>
          <w:szCs w:val="20"/>
        </w:rPr>
      </w:pPr>
    </w:p>
    <w:p w14:paraId="471F57B5" w14:textId="3B8040F3" w:rsidR="00D04C3A" w:rsidRPr="00BB2C44" w:rsidRDefault="00D04C3A" w:rsidP="00D04C3A">
      <w:pPr>
        <w:spacing w:before="120" w:after="120" w:line="336" w:lineRule="auto"/>
        <w:rPr>
          <w:rFonts w:ascii="Bodoni 72 Book" w:hAnsi="Bodoni 72 Book"/>
        </w:rPr>
      </w:pPr>
      <w:r w:rsidRPr="00D04C3A">
        <w:rPr>
          <w:rFonts w:ascii="Bodoni 72 Book" w:eastAsia="Montserrat" w:hAnsi="Bodoni 72 Book" w:cs="Montserrat"/>
          <w:color w:val="573B46"/>
          <w:sz w:val="64"/>
          <w:szCs w:val="64"/>
        </w:rPr>
        <w:lastRenderedPageBreak/>
        <w:t>Section B: Template Report for the Qualitative Assessment</w:t>
      </w:r>
    </w:p>
    <w:p w14:paraId="18749C8A" w14:textId="77777777" w:rsidR="00D04C3A" w:rsidRDefault="00D04C3A" w:rsidP="00D04C3A">
      <w:pPr>
        <w:pBdr>
          <w:bottom w:val="single" w:sz="6" w:space="0" w:color="573B46"/>
        </w:pBdr>
        <w:spacing w:before="120" w:after="120" w:line="0" w:lineRule="auto"/>
      </w:pPr>
    </w:p>
    <w:p w14:paraId="6A579B7D" w14:textId="77777777" w:rsidR="00D04C3A" w:rsidRDefault="00D04C3A" w:rsidP="00D04C3A">
      <w:pPr>
        <w:spacing w:before="120" w:after="120" w:line="336" w:lineRule="auto"/>
        <w:rPr>
          <w:rFonts w:ascii="Avenir Next" w:eastAsia="IBM Plex Sans" w:hAnsi="Avenir Next" w:cs="IBM Plex Sans"/>
          <w:color w:val="000000"/>
          <w:sz w:val="20"/>
          <w:szCs w:val="20"/>
        </w:rPr>
      </w:pPr>
      <w:r w:rsidRPr="00D04C3A">
        <w:rPr>
          <w:rFonts w:ascii="Avenir Next" w:eastAsia="IBM Plex Sans" w:hAnsi="Avenir Next" w:cs="IBM Plex Sans"/>
          <w:color w:val="000000"/>
          <w:sz w:val="20"/>
          <w:szCs w:val="20"/>
        </w:rPr>
        <w:t xml:space="preserve">To complete this template report, users (with the support of from a selected expert international organization) should consider the answers provided in ‘Section A’ above. In completing this template, users will need to consider the scope of each column as follows: </w:t>
      </w:r>
    </w:p>
    <w:p w14:paraId="043F0916" w14:textId="77777777" w:rsidR="00D04C3A" w:rsidRDefault="00D04C3A" w:rsidP="00D04C3A">
      <w:pPr>
        <w:pStyle w:val="ListParagraph"/>
        <w:numPr>
          <w:ilvl w:val="0"/>
          <w:numId w:val="17"/>
        </w:numPr>
        <w:spacing w:before="120" w:after="120" w:line="336" w:lineRule="auto"/>
        <w:rPr>
          <w:rFonts w:ascii="Avenir Next" w:eastAsia="IBM Plex Sans" w:hAnsi="Avenir Next" w:cs="IBM Plex Sans"/>
          <w:color w:val="000000"/>
          <w:sz w:val="20"/>
          <w:szCs w:val="20"/>
        </w:rPr>
      </w:pPr>
      <w:r w:rsidRPr="00D04C3A">
        <w:rPr>
          <w:rFonts w:ascii="Avenir Next" w:eastAsia="IBM Plex Sans" w:hAnsi="Avenir Next" w:cs="IBM Plex Sans"/>
          <w:color w:val="000000"/>
          <w:sz w:val="20"/>
          <w:szCs w:val="20"/>
        </w:rPr>
        <w:t xml:space="preserve">Column 2 (Shortcomings or Gaps Identified): for users to identify and summarize the key shortcomings or gaps (issues of non-conformance) identified in correlation to international best practices, that is, when the scoring identified was ‘Partially’ or ‘No’ in ‘Section A’. There is also an opportunity to identify other/general shortcomings.  </w:t>
      </w:r>
    </w:p>
    <w:p w14:paraId="1F0F21BD" w14:textId="6F9362B7" w:rsidR="00A8483E" w:rsidRDefault="00D04C3A" w:rsidP="00D04C3A">
      <w:pPr>
        <w:pStyle w:val="ListParagraph"/>
        <w:numPr>
          <w:ilvl w:val="0"/>
          <w:numId w:val="17"/>
        </w:numPr>
        <w:spacing w:before="120" w:after="120" w:line="336" w:lineRule="auto"/>
        <w:rPr>
          <w:rFonts w:ascii="Avenir Next" w:eastAsia="IBM Plex Sans" w:hAnsi="Avenir Next" w:cs="IBM Plex Sans"/>
          <w:color w:val="000000"/>
          <w:sz w:val="20"/>
          <w:szCs w:val="20"/>
        </w:rPr>
      </w:pPr>
      <w:r w:rsidRPr="00D04C3A">
        <w:rPr>
          <w:rFonts w:ascii="Avenir Next" w:eastAsia="IBM Plex Sans" w:hAnsi="Avenir Next" w:cs="IBM Plex Sans"/>
          <w:color w:val="000000"/>
          <w:sz w:val="20"/>
          <w:szCs w:val="20"/>
        </w:rPr>
        <w:t>Column 3 (Recommendations): for users to identify actions/recommendations to be taken to address these key shortcomings or gaps.</w:t>
      </w:r>
    </w:p>
    <w:tbl>
      <w:tblPr>
        <w:tblStyle w:val="TableGrid"/>
        <w:tblW w:w="5000" w:type="pct"/>
        <w:tblLook w:val="04A0" w:firstRow="1" w:lastRow="0" w:firstColumn="1" w:lastColumn="0" w:noHBand="0" w:noVBand="1"/>
      </w:tblPr>
      <w:tblGrid>
        <w:gridCol w:w="2158"/>
        <w:gridCol w:w="6197"/>
        <w:gridCol w:w="5826"/>
      </w:tblGrid>
      <w:tr w:rsidR="00D04C3A" w:rsidRPr="004427E7" w14:paraId="0DA7C3CE" w14:textId="77777777" w:rsidTr="00D04C3A">
        <w:trPr>
          <w:trHeight w:val="629"/>
        </w:trPr>
        <w:tc>
          <w:tcPr>
            <w:tcW w:w="761" w:type="pct"/>
            <w:shd w:val="clear" w:color="auto" w:fill="573B46"/>
            <w:vAlign w:val="center"/>
          </w:tcPr>
          <w:p w14:paraId="261EBBC7" w14:textId="77777777" w:rsidR="00D04C3A" w:rsidRPr="00D04C3A" w:rsidRDefault="00D04C3A" w:rsidP="00D04C3A">
            <w:pPr>
              <w:jc w:val="center"/>
              <w:rPr>
                <w:rFonts w:ascii="Bodoni 72 Book" w:hAnsi="Bodoni 72 Book"/>
                <w:color w:val="FFFFFF" w:themeColor="background1"/>
                <w:sz w:val="22"/>
                <w:szCs w:val="22"/>
              </w:rPr>
            </w:pPr>
            <w:r w:rsidRPr="00D04C3A">
              <w:rPr>
                <w:rFonts w:ascii="Bodoni 72 Book" w:hAnsi="Bodoni 72 Book"/>
                <w:color w:val="FFFFFF" w:themeColor="background1"/>
                <w:sz w:val="22"/>
                <w:szCs w:val="22"/>
              </w:rPr>
              <w:t>International best practices</w:t>
            </w:r>
          </w:p>
        </w:tc>
        <w:tc>
          <w:tcPr>
            <w:tcW w:w="2185" w:type="pct"/>
            <w:shd w:val="clear" w:color="auto" w:fill="573B46"/>
            <w:vAlign w:val="center"/>
          </w:tcPr>
          <w:p w14:paraId="04167AC4" w14:textId="77777777" w:rsidR="00D04C3A" w:rsidRPr="00D04C3A" w:rsidRDefault="00D04C3A" w:rsidP="00D04C3A">
            <w:pPr>
              <w:jc w:val="center"/>
              <w:rPr>
                <w:rFonts w:ascii="Bodoni 72 Book" w:hAnsi="Bodoni 72 Book"/>
                <w:color w:val="FFFFFF" w:themeColor="background1"/>
                <w:sz w:val="22"/>
                <w:szCs w:val="22"/>
              </w:rPr>
            </w:pPr>
            <w:r w:rsidRPr="00D04C3A">
              <w:rPr>
                <w:rFonts w:ascii="Bodoni 72 Book" w:hAnsi="Bodoni 72 Book"/>
                <w:color w:val="FFFFFF" w:themeColor="background1"/>
                <w:sz w:val="22"/>
                <w:szCs w:val="22"/>
              </w:rPr>
              <w:t>Shortcomings/Gaps Identified</w:t>
            </w:r>
          </w:p>
        </w:tc>
        <w:tc>
          <w:tcPr>
            <w:tcW w:w="2054" w:type="pct"/>
            <w:shd w:val="clear" w:color="auto" w:fill="573B46"/>
            <w:vAlign w:val="center"/>
          </w:tcPr>
          <w:p w14:paraId="6D7070E4" w14:textId="2E949B03" w:rsidR="00D04C3A" w:rsidRPr="00D04C3A" w:rsidRDefault="00D04C3A" w:rsidP="00D04C3A">
            <w:pPr>
              <w:jc w:val="center"/>
              <w:rPr>
                <w:rFonts w:ascii="Bodoni 72 Book" w:hAnsi="Bodoni 72 Book"/>
                <w:color w:val="FFFFFF" w:themeColor="background1"/>
                <w:sz w:val="22"/>
                <w:szCs w:val="22"/>
              </w:rPr>
            </w:pPr>
            <w:r w:rsidRPr="00D04C3A">
              <w:rPr>
                <w:rFonts w:ascii="Bodoni 72 Book" w:hAnsi="Bodoni 72 Book"/>
                <w:color w:val="FFFFFF" w:themeColor="background1"/>
                <w:sz w:val="22"/>
                <w:szCs w:val="22"/>
              </w:rPr>
              <w:t>Recommendations</w:t>
            </w:r>
          </w:p>
        </w:tc>
      </w:tr>
      <w:tr w:rsidR="00D04C3A" w:rsidRPr="004427E7" w14:paraId="7105DC0A" w14:textId="77777777" w:rsidTr="00D04C3A">
        <w:trPr>
          <w:trHeight w:val="440"/>
        </w:trPr>
        <w:tc>
          <w:tcPr>
            <w:tcW w:w="761" w:type="pct"/>
            <w:shd w:val="clear" w:color="auto" w:fill="C9B0AC"/>
            <w:vAlign w:val="center"/>
          </w:tcPr>
          <w:p w14:paraId="780F7BBE" w14:textId="77777777" w:rsidR="00D04C3A" w:rsidRPr="00D04C3A" w:rsidRDefault="00D04C3A" w:rsidP="00D04C3A">
            <w:pPr>
              <w:rPr>
                <w:rFonts w:ascii="Avenir Next" w:hAnsi="Avenir Next"/>
                <w:sz w:val="20"/>
                <w:szCs w:val="20"/>
              </w:rPr>
            </w:pPr>
            <w:r w:rsidRPr="00D04C3A">
              <w:rPr>
                <w:rFonts w:ascii="Avenir Next" w:hAnsi="Avenir Next" w:cs="Calibri"/>
                <w:color w:val="000000" w:themeColor="text1"/>
                <w:sz w:val="20"/>
                <w:szCs w:val="20"/>
              </w:rPr>
              <w:t>Beneficiaries</w:t>
            </w:r>
          </w:p>
        </w:tc>
        <w:tc>
          <w:tcPr>
            <w:tcW w:w="2185" w:type="pct"/>
          </w:tcPr>
          <w:p w14:paraId="050B13ED" w14:textId="77777777" w:rsidR="00D04C3A" w:rsidRPr="004427E7" w:rsidRDefault="00D04C3A" w:rsidP="00CE0AF6">
            <w:pPr>
              <w:rPr>
                <w:szCs w:val="22"/>
              </w:rPr>
            </w:pPr>
          </w:p>
        </w:tc>
        <w:tc>
          <w:tcPr>
            <w:tcW w:w="2054" w:type="pct"/>
          </w:tcPr>
          <w:p w14:paraId="15080DCB" w14:textId="77777777" w:rsidR="00D04C3A" w:rsidRPr="004427E7" w:rsidRDefault="00D04C3A" w:rsidP="00CE0AF6">
            <w:pPr>
              <w:rPr>
                <w:szCs w:val="22"/>
              </w:rPr>
            </w:pPr>
          </w:p>
        </w:tc>
      </w:tr>
      <w:tr w:rsidR="00D04C3A" w:rsidRPr="004427E7" w14:paraId="7C0A15F0" w14:textId="77777777" w:rsidTr="00D04C3A">
        <w:trPr>
          <w:trHeight w:val="413"/>
        </w:trPr>
        <w:tc>
          <w:tcPr>
            <w:tcW w:w="761" w:type="pct"/>
            <w:shd w:val="clear" w:color="auto" w:fill="C9B0AC"/>
            <w:vAlign w:val="center"/>
          </w:tcPr>
          <w:p w14:paraId="08D76DC9" w14:textId="77777777" w:rsidR="00D04C3A" w:rsidRPr="00D04C3A" w:rsidRDefault="00D04C3A" w:rsidP="00D04C3A">
            <w:pPr>
              <w:rPr>
                <w:rFonts w:ascii="Avenir Next" w:hAnsi="Avenir Next"/>
                <w:sz w:val="20"/>
                <w:szCs w:val="20"/>
              </w:rPr>
            </w:pPr>
            <w:r w:rsidRPr="00D04C3A">
              <w:rPr>
                <w:rFonts w:ascii="Avenir Next" w:hAnsi="Avenir Next" w:cs="Calibri"/>
                <w:color w:val="000000" w:themeColor="text1"/>
                <w:sz w:val="20"/>
                <w:szCs w:val="20"/>
              </w:rPr>
              <w:t>Incentives</w:t>
            </w:r>
          </w:p>
        </w:tc>
        <w:tc>
          <w:tcPr>
            <w:tcW w:w="2185" w:type="pct"/>
          </w:tcPr>
          <w:p w14:paraId="4B9B7F20" w14:textId="77777777" w:rsidR="00D04C3A" w:rsidRPr="004427E7" w:rsidRDefault="00D04C3A" w:rsidP="00CE0AF6">
            <w:pPr>
              <w:rPr>
                <w:szCs w:val="22"/>
              </w:rPr>
            </w:pPr>
          </w:p>
        </w:tc>
        <w:tc>
          <w:tcPr>
            <w:tcW w:w="2054" w:type="pct"/>
          </w:tcPr>
          <w:p w14:paraId="2768D6ED" w14:textId="77777777" w:rsidR="00D04C3A" w:rsidRPr="004427E7" w:rsidRDefault="00D04C3A" w:rsidP="00CE0AF6">
            <w:pPr>
              <w:rPr>
                <w:szCs w:val="22"/>
              </w:rPr>
            </w:pPr>
          </w:p>
        </w:tc>
      </w:tr>
      <w:tr w:rsidR="00D04C3A" w:rsidRPr="004427E7" w14:paraId="598F601D" w14:textId="77777777" w:rsidTr="00D04C3A">
        <w:trPr>
          <w:trHeight w:val="1556"/>
        </w:trPr>
        <w:tc>
          <w:tcPr>
            <w:tcW w:w="761" w:type="pct"/>
            <w:shd w:val="clear" w:color="auto" w:fill="C9B0AC"/>
            <w:vAlign w:val="center"/>
          </w:tcPr>
          <w:p w14:paraId="29F8A235" w14:textId="77777777" w:rsidR="00D04C3A" w:rsidRPr="00D04C3A" w:rsidRDefault="00D04C3A" w:rsidP="00D04C3A">
            <w:pPr>
              <w:rPr>
                <w:rFonts w:ascii="Avenir Next" w:hAnsi="Avenir Next"/>
                <w:sz w:val="20"/>
                <w:szCs w:val="20"/>
              </w:rPr>
            </w:pPr>
            <w:r w:rsidRPr="00D04C3A">
              <w:rPr>
                <w:rFonts w:ascii="Avenir Next" w:hAnsi="Avenir Next" w:cs="Calibri"/>
                <w:color w:val="000000" w:themeColor="text1"/>
                <w:sz w:val="20"/>
                <w:szCs w:val="20"/>
              </w:rPr>
              <w:t>Mechanisms for the distribution of benefits and institutional architecture</w:t>
            </w:r>
          </w:p>
        </w:tc>
        <w:tc>
          <w:tcPr>
            <w:tcW w:w="2185" w:type="pct"/>
          </w:tcPr>
          <w:p w14:paraId="4273950F" w14:textId="77777777" w:rsidR="00D04C3A" w:rsidRPr="004427E7" w:rsidRDefault="00D04C3A" w:rsidP="00CE0AF6">
            <w:pPr>
              <w:rPr>
                <w:szCs w:val="22"/>
              </w:rPr>
            </w:pPr>
          </w:p>
        </w:tc>
        <w:tc>
          <w:tcPr>
            <w:tcW w:w="2054" w:type="pct"/>
          </w:tcPr>
          <w:p w14:paraId="672A3710" w14:textId="77777777" w:rsidR="00D04C3A" w:rsidRPr="00D67722" w:rsidRDefault="00D04C3A" w:rsidP="00CE0AF6">
            <w:pPr>
              <w:rPr>
                <w:szCs w:val="22"/>
              </w:rPr>
            </w:pPr>
          </w:p>
        </w:tc>
      </w:tr>
      <w:tr w:rsidR="00D04C3A" w:rsidRPr="004427E7" w14:paraId="2163E669" w14:textId="77777777" w:rsidTr="00D04C3A">
        <w:trPr>
          <w:trHeight w:val="719"/>
        </w:trPr>
        <w:tc>
          <w:tcPr>
            <w:tcW w:w="761" w:type="pct"/>
            <w:shd w:val="clear" w:color="auto" w:fill="C9B0AC"/>
            <w:vAlign w:val="center"/>
          </w:tcPr>
          <w:p w14:paraId="6C6729AD" w14:textId="77777777" w:rsidR="00D04C3A" w:rsidRPr="00D04C3A" w:rsidRDefault="00D04C3A" w:rsidP="00D04C3A">
            <w:pPr>
              <w:rPr>
                <w:rFonts w:ascii="Avenir Next" w:hAnsi="Avenir Next"/>
                <w:sz w:val="20"/>
                <w:szCs w:val="20"/>
              </w:rPr>
            </w:pPr>
            <w:r w:rsidRPr="00D04C3A">
              <w:rPr>
                <w:rFonts w:ascii="Avenir Next" w:hAnsi="Avenir Next" w:cs="Calibri"/>
                <w:color w:val="000000" w:themeColor="text1"/>
                <w:sz w:val="20"/>
                <w:szCs w:val="20"/>
              </w:rPr>
              <w:t>Monitoring and evaluation</w:t>
            </w:r>
          </w:p>
        </w:tc>
        <w:tc>
          <w:tcPr>
            <w:tcW w:w="2185" w:type="pct"/>
          </w:tcPr>
          <w:p w14:paraId="4CB6B653" w14:textId="77777777" w:rsidR="00D04C3A" w:rsidRPr="004427E7" w:rsidRDefault="00D04C3A" w:rsidP="00CE0AF6">
            <w:pPr>
              <w:rPr>
                <w:szCs w:val="22"/>
              </w:rPr>
            </w:pPr>
          </w:p>
        </w:tc>
        <w:tc>
          <w:tcPr>
            <w:tcW w:w="2054" w:type="pct"/>
          </w:tcPr>
          <w:p w14:paraId="187D7E53" w14:textId="77777777" w:rsidR="00D04C3A" w:rsidRPr="00D67722" w:rsidRDefault="00D04C3A" w:rsidP="00CE0AF6">
            <w:pPr>
              <w:rPr>
                <w:szCs w:val="22"/>
              </w:rPr>
            </w:pPr>
          </w:p>
        </w:tc>
      </w:tr>
      <w:tr w:rsidR="00D04C3A" w:rsidRPr="004427E7" w14:paraId="29AE3E15" w14:textId="77777777" w:rsidTr="00D04C3A">
        <w:tc>
          <w:tcPr>
            <w:tcW w:w="761" w:type="pct"/>
            <w:shd w:val="clear" w:color="auto" w:fill="C9B0AC"/>
            <w:vAlign w:val="center"/>
          </w:tcPr>
          <w:p w14:paraId="108AFCB9" w14:textId="77777777" w:rsidR="00D04C3A" w:rsidRPr="00D04C3A" w:rsidRDefault="00D04C3A" w:rsidP="00D04C3A">
            <w:pPr>
              <w:rPr>
                <w:rFonts w:ascii="Avenir Next" w:hAnsi="Avenir Next"/>
                <w:sz w:val="20"/>
                <w:szCs w:val="20"/>
              </w:rPr>
            </w:pPr>
            <w:r w:rsidRPr="00D04C3A">
              <w:rPr>
                <w:rFonts w:ascii="Avenir Next" w:hAnsi="Avenir Next"/>
                <w:sz w:val="20"/>
                <w:szCs w:val="20"/>
              </w:rPr>
              <w:lastRenderedPageBreak/>
              <w:t>Alignment with relevant legislation</w:t>
            </w:r>
          </w:p>
        </w:tc>
        <w:tc>
          <w:tcPr>
            <w:tcW w:w="2185" w:type="pct"/>
          </w:tcPr>
          <w:p w14:paraId="3F0E0FFC" w14:textId="77777777" w:rsidR="00D04C3A" w:rsidRPr="004427E7" w:rsidRDefault="00D04C3A" w:rsidP="00CE0AF6">
            <w:pPr>
              <w:rPr>
                <w:szCs w:val="22"/>
              </w:rPr>
            </w:pPr>
          </w:p>
        </w:tc>
        <w:tc>
          <w:tcPr>
            <w:tcW w:w="2054" w:type="pct"/>
          </w:tcPr>
          <w:p w14:paraId="19881B07" w14:textId="77777777" w:rsidR="00D04C3A" w:rsidRPr="004427E7" w:rsidRDefault="00D04C3A" w:rsidP="00CE0AF6">
            <w:pPr>
              <w:rPr>
                <w:szCs w:val="22"/>
              </w:rPr>
            </w:pPr>
          </w:p>
          <w:p w14:paraId="1581A546" w14:textId="77777777" w:rsidR="00D04C3A" w:rsidRPr="004427E7" w:rsidRDefault="00D04C3A" w:rsidP="00CE0AF6">
            <w:pPr>
              <w:rPr>
                <w:szCs w:val="22"/>
              </w:rPr>
            </w:pPr>
          </w:p>
        </w:tc>
      </w:tr>
      <w:tr w:rsidR="00D04C3A" w:rsidRPr="004427E7" w14:paraId="645EA7D8" w14:textId="77777777" w:rsidTr="00D04C3A">
        <w:trPr>
          <w:trHeight w:val="476"/>
        </w:trPr>
        <w:tc>
          <w:tcPr>
            <w:tcW w:w="761" w:type="pct"/>
            <w:shd w:val="clear" w:color="auto" w:fill="C9B0AC"/>
            <w:vAlign w:val="center"/>
          </w:tcPr>
          <w:p w14:paraId="1C906254" w14:textId="77777777" w:rsidR="00D04C3A" w:rsidRPr="00D04C3A" w:rsidRDefault="00D04C3A" w:rsidP="00D04C3A">
            <w:pPr>
              <w:rPr>
                <w:rFonts w:ascii="Avenir Next" w:hAnsi="Avenir Next"/>
                <w:sz w:val="20"/>
                <w:szCs w:val="20"/>
              </w:rPr>
            </w:pPr>
            <w:r w:rsidRPr="00D04C3A">
              <w:rPr>
                <w:rFonts w:ascii="Avenir Next" w:hAnsi="Avenir Next"/>
                <w:sz w:val="20"/>
                <w:szCs w:val="20"/>
              </w:rPr>
              <w:t xml:space="preserve">General </w:t>
            </w:r>
          </w:p>
        </w:tc>
        <w:tc>
          <w:tcPr>
            <w:tcW w:w="2185" w:type="pct"/>
          </w:tcPr>
          <w:p w14:paraId="6A18FAEB" w14:textId="77777777" w:rsidR="00D04C3A" w:rsidRPr="004427E7" w:rsidRDefault="00D04C3A" w:rsidP="00CE0AF6">
            <w:pPr>
              <w:rPr>
                <w:szCs w:val="22"/>
              </w:rPr>
            </w:pPr>
          </w:p>
        </w:tc>
        <w:tc>
          <w:tcPr>
            <w:tcW w:w="2054" w:type="pct"/>
          </w:tcPr>
          <w:p w14:paraId="5B5EF15F" w14:textId="77777777" w:rsidR="00D04C3A" w:rsidRPr="004427E7" w:rsidRDefault="00D04C3A" w:rsidP="00CE0AF6">
            <w:pPr>
              <w:rPr>
                <w:szCs w:val="22"/>
              </w:rPr>
            </w:pPr>
          </w:p>
        </w:tc>
      </w:tr>
    </w:tbl>
    <w:p w14:paraId="6C02BC0D" w14:textId="2849050F" w:rsidR="00A8483E" w:rsidRDefault="00A8483E">
      <w:pPr>
        <w:spacing w:before="120" w:after="120" w:line="336" w:lineRule="auto"/>
      </w:pPr>
    </w:p>
    <w:sectPr w:rsidR="00A8483E" w:rsidSect="00ED5169">
      <w:pgSz w:w="16845" w:h="11910" w:orient="landscape"/>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874BB2" w14:textId="77777777" w:rsidR="00AA3ADE" w:rsidRDefault="00AA3ADE" w:rsidP="00BB2C44">
      <w:r>
        <w:separator/>
      </w:r>
    </w:p>
  </w:endnote>
  <w:endnote w:type="continuationSeparator" w:id="0">
    <w:p w14:paraId="224348AA" w14:textId="77777777" w:rsidR="00AA3ADE" w:rsidRDefault="00AA3ADE" w:rsidP="00BB2C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99260B0A-4FED-6B49-9807-C6B25990A3B7}"/>
  </w:font>
  <w:font w:name="Times New Roman">
    <w:panose1 w:val="02020603050405020304"/>
    <w:charset w:val="00"/>
    <w:family w:val="roman"/>
    <w:pitch w:val="variable"/>
    <w:sig w:usb0="E0002EFF" w:usb1="C000785B" w:usb2="00000009" w:usb3="00000000" w:csb0="000001FF" w:csb1="00000000"/>
    <w:embedRegular r:id="rId2" w:fontKey="{D0EF546A-12AC-9047-BFD8-6803B3D42ACB}"/>
    <w:embedBold r:id="rId3" w:fontKey="{6E74567F-5E86-714A-842F-F48BC4C6F258}"/>
    <w:embedItalic r:id="rId4" w:fontKey="{2B8C3DB8-7231-1A44-9EAB-3C2640C3B9DB}"/>
  </w:font>
  <w:font w:name="Courier New">
    <w:panose1 w:val="02070309020205020404"/>
    <w:charset w:val="00"/>
    <w:family w:val="modern"/>
    <w:pitch w:val="fixed"/>
    <w:sig w:usb0="E0002AFF" w:usb1="C0007843" w:usb2="00000009" w:usb3="00000000" w:csb0="000001FF" w:csb1="00000000"/>
    <w:embedRegular r:id="rId5" w:fontKey="{E2F8C62E-6B08-1B4B-8DDA-E8872EC5D27D}"/>
  </w:font>
  <w:font w:name="Wingdings">
    <w:panose1 w:val="05000000000000000000"/>
    <w:charset w:val="4D"/>
    <w:family w:val="decorative"/>
    <w:pitch w:val="variable"/>
    <w:sig w:usb0="00000003" w:usb1="00000000" w:usb2="00000000" w:usb3="00000000" w:csb0="80000001" w:csb1="00000000"/>
    <w:embedRegular r:id="rId6" w:fontKey="{094A9C40-CED6-B649-BC48-C4063B811B68}"/>
  </w:font>
  <w:font w:name="Calibri">
    <w:panose1 w:val="020F0502020204030204"/>
    <w:charset w:val="00"/>
    <w:family w:val="swiss"/>
    <w:pitch w:val="variable"/>
    <w:sig w:usb0="E4002EFF" w:usb1="C200247B" w:usb2="00000009" w:usb3="00000000" w:csb0="000001FF" w:csb1="00000000"/>
    <w:embedRegular r:id="rId7" w:fontKey="{0CEBBE0D-04E6-D245-82FE-6B7C339CB1C9}"/>
    <w:embedBold r:id="rId8" w:fontKey="{EA713008-B088-9243-B2DC-83671F7E78C5}"/>
    <w:embedItalic r:id="rId9" w:fontKey="{F90515F5-F768-4642-82E2-3872BFC641E9}"/>
  </w:font>
  <w:font w:name="Bodoni 72 Book">
    <w:altName w:val="BODONI 72 BOOK"/>
    <w:panose1 w:val="00000400000000000000"/>
    <w:charset w:val="00"/>
    <w:family w:val="auto"/>
    <w:pitch w:val="variable"/>
    <w:sig w:usb0="00000003" w:usb1="00000000" w:usb2="00000000" w:usb3="00000000" w:csb0="00000001" w:csb1="00000000"/>
    <w:embedRegular r:id="rId10" w:fontKey="{AA2756F3-3CC4-004F-A919-2A1B40820647}"/>
  </w:font>
  <w:font w:name="Prata">
    <w:altName w:val="Calibri"/>
    <w:panose1 w:val="020B0604020202020204"/>
    <w:charset w:val="00"/>
    <w:family w:val="auto"/>
    <w:pitch w:val="default"/>
  </w:font>
  <w:font w:name="Avenir Next">
    <w:panose1 w:val="020B0503020202020204"/>
    <w:charset w:val="00"/>
    <w:family w:val="swiss"/>
    <w:pitch w:val="variable"/>
    <w:sig w:usb0="8000002F" w:usb1="5000204A" w:usb2="00000000" w:usb3="00000000" w:csb0="0000009B" w:csb1="00000000"/>
    <w:embedRegular r:id="rId12" w:fontKey="{F21B0A58-BA68-2246-9244-11BB2202A574}"/>
    <w:embedBold r:id="rId13" w:fontKey="{63ABD705-8E45-D34E-A591-F90152FC888B}"/>
    <w:embedItalic r:id="rId14" w:fontKey="{458C7285-0EEC-BC49-BAD9-4696E46725DF}"/>
  </w:font>
  <w:font w:name="Montserrat">
    <w:panose1 w:val="00000500000000000000"/>
    <w:charset w:val="4D"/>
    <w:family w:val="auto"/>
    <w:pitch w:val="variable"/>
    <w:sig w:usb0="2000020F" w:usb1="00000003" w:usb2="00000000" w:usb3="00000000" w:csb0="00000197" w:csb1="00000000"/>
    <w:embedRegular r:id="rId15" w:fontKey="{9F600E4E-A2B0-CC4A-801E-B9BC9B7BB84F}"/>
    <w:embedItalic r:id="rId16" w:fontKey="{1276D966-74D0-1F49-8238-1AEB6C7F5EC6}"/>
  </w:font>
  <w:font w:name="IBM Plex Sans">
    <w:panose1 w:val="020B0503050203000203"/>
    <w:charset w:val="00"/>
    <w:family w:val="swiss"/>
    <w:pitch w:val="variable"/>
    <w:sig w:usb0="A00002EF" w:usb1="5000207B" w:usb2="00000000" w:usb3="00000000" w:csb0="0000019F" w:csb1="00000000"/>
    <w:embedRegular r:id="rId17" w:fontKey="{891B7E3F-6E5B-0D42-97D4-A93139A26307}"/>
  </w:font>
  <w:font w:name="IBM Plex Sans Bold">
    <w:altName w:val="IBM Plex Sans"/>
    <w:panose1 w:val="020B0604020202020204"/>
    <w:charset w:val="00"/>
    <w:family w:val="auto"/>
    <w:pitch w:val="default"/>
  </w:font>
  <w:font w:name="Avenir Next Ultra Light">
    <w:panose1 w:val="020B0203020202020204"/>
    <w:charset w:val="4D"/>
    <w:family w:val="swiss"/>
    <w:pitch w:val="variable"/>
    <w:sig w:usb0="800000AF" w:usb1="5000204A" w:usb2="00000000" w:usb3="00000000" w:csb0="0000009B" w:csb1="00000000"/>
    <w:embedBold r:id="rId19" w:fontKey="{C6E6ACB8-F792-4543-B126-BB5146209E5D}"/>
  </w:font>
  <w:font w:name="Arial">
    <w:panose1 w:val="020B0604020202020204"/>
    <w:charset w:val="00"/>
    <w:family w:val="swiss"/>
    <w:pitch w:val="variable"/>
    <w:sig w:usb0="E0002AFF" w:usb1="C0007843" w:usb2="00000009" w:usb3="00000000" w:csb0="000001FF" w:csb1="00000000"/>
    <w:embedRegular r:id="rId20" w:fontKey="{81F0C15E-8446-B749-9D97-0784AED75F63}"/>
  </w:font>
  <w:font w:name="Calibri Light">
    <w:panose1 w:val="020F0302020204030204"/>
    <w:charset w:val="00"/>
    <w:family w:val="swiss"/>
    <w:pitch w:val="variable"/>
    <w:sig w:usb0="E4002EFF" w:usb1="C200247B" w:usb2="00000009" w:usb3="00000000" w:csb0="000001FF" w:csb1="00000000"/>
    <w:embedRegular r:id="rId21" w:fontKey="{991B0FBD-2AE4-EB44-BAFE-7F2B429173C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640D62" w14:textId="77777777" w:rsidR="00AA3ADE" w:rsidRDefault="00AA3ADE" w:rsidP="00BB2C44">
      <w:r>
        <w:separator/>
      </w:r>
    </w:p>
  </w:footnote>
  <w:footnote w:type="continuationSeparator" w:id="0">
    <w:p w14:paraId="07B8FBF7" w14:textId="77777777" w:rsidR="00AA3ADE" w:rsidRDefault="00AA3ADE" w:rsidP="00BB2C44">
      <w:r>
        <w:continuationSeparator/>
      </w:r>
    </w:p>
  </w:footnote>
  <w:footnote w:id="1">
    <w:p w14:paraId="03ACA680" w14:textId="77250B33" w:rsidR="00EE744F" w:rsidRPr="00EE744F" w:rsidRDefault="00EE744F">
      <w:pPr>
        <w:pStyle w:val="FootnoteText"/>
        <w:rPr>
          <w:lang w:val="en-GB"/>
        </w:rPr>
      </w:pPr>
      <w:r>
        <w:rPr>
          <w:rStyle w:val="FootnoteReference"/>
        </w:rPr>
        <w:footnoteRef/>
      </w:r>
      <w:r>
        <w:t xml:space="preserve"> </w:t>
      </w:r>
      <w:r w:rsidR="00B94FA4">
        <w:rPr>
          <w:rFonts w:ascii="Avenir Next" w:hAnsi="Avenir Next"/>
          <w:i/>
          <w:iCs/>
          <w:sz w:val="14"/>
          <w:szCs w:val="14"/>
          <w:lang w:val="en-GB"/>
        </w:rPr>
        <w:t>WWF, Comparative Analysis of benefit sharing mechanisms in REDD</w:t>
      </w:r>
      <w:r w:rsidR="00017D3F">
        <w:rPr>
          <w:rFonts w:ascii="Avenir Next" w:hAnsi="Avenir Next"/>
          <w:i/>
          <w:iCs/>
          <w:sz w:val="14"/>
          <w:szCs w:val="14"/>
          <w:lang w:val="en-GB"/>
        </w:rPr>
        <w:t xml:space="preserve">+ </w:t>
      </w:r>
      <w:r w:rsidR="00B94FA4">
        <w:rPr>
          <w:rFonts w:ascii="Avenir Next" w:hAnsi="Avenir Next"/>
          <w:i/>
          <w:iCs/>
          <w:sz w:val="14"/>
          <w:szCs w:val="14"/>
          <w:lang w:val="en-GB"/>
        </w:rPr>
        <w:t xml:space="preserve"> programs, accessible at</w:t>
      </w:r>
      <w:r w:rsidR="00B94FA4" w:rsidRPr="00B94FA4">
        <w:rPr>
          <w:rFonts w:ascii="Avenir Next" w:hAnsi="Avenir Next"/>
          <w:i/>
          <w:iCs/>
          <w:sz w:val="14"/>
          <w:szCs w:val="14"/>
          <w:lang w:val="en-GB"/>
        </w:rPr>
        <w:t xml:space="preserve">, </w:t>
      </w:r>
      <w:hyperlink r:id="rId1" w:history="1">
        <w:r w:rsidR="00B94FA4" w:rsidRPr="00B94FA4">
          <w:rPr>
            <w:rStyle w:val="Hyperlink"/>
            <w:rFonts w:ascii="Avenir Next" w:hAnsi="Avenir Next"/>
            <w:i/>
            <w:iCs/>
            <w:sz w:val="14"/>
            <w:szCs w:val="14"/>
            <w:lang w:val="en-GB"/>
          </w:rPr>
          <w:t>https://wwfint.awsassets.panda.org/downloads/wwf_assessment_report_redd__programs_v4.pdf</w:t>
        </w:r>
      </w:hyperlink>
      <w:r w:rsidR="00B94FA4" w:rsidRPr="00B94FA4">
        <w:rPr>
          <w:rFonts w:ascii="Avenir Next" w:hAnsi="Avenir Next"/>
          <w:i/>
          <w:iCs/>
          <w:sz w:val="14"/>
          <w:szCs w:val="14"/>
          <w:lang w:val="en-GB"/>
        </w:rPr>
        <w:t xml:space="preserve"> </w:t>
      </w:r>
      <w:r w:rsidR="00B94FA4">
        <w:rPr>
          <w:rFonts w:ascii="Avenir Next" w:hAnsi="Avenir Next"/>
          <w:i/>
          <w:iCs/>
          <w:sz w:val="14"/>
          <w:szCs w:val="14"/>
          <w:lang w:val="en-GB"/>
        </w:rPr>
        <w:t xml:space="preserve"> </w:t>
      </w:r>
    </w:p>
  </w:footnote>
  <w:footnote w:id="2">
    <w:p w14:paraId="29D6CD1D" w14:textId="351ADBE6" w:rsidR="00524B9A" w:rsidRPr="00524B9A" w:rsidRDefault="00524B9A">
      <w:pPr>
        <w:pStyle w:val="FootnoteText"/>
        <w:rPr>
          <w:lang w:val="en-GB"/>
        </w:rPr>
      </w:pPr>
      <w:r>
        <w:rPr>
          <w:rStyle w:val="FootnoteReference"/>
        </w:rPr>
        <w:footnoteRef/>
      </w:r>
      <w:r>
        <w:t xml:space="preserve"> </w:t>
      </w:r>
      <w:r>
        <w:rPr>
          <w:rFonts w:ascii="Avenir Next" w:hAnsi="Avenir Next"/>
          <w:i/>
          <w:iCs/>
          <w:sz w:val="14"/>
          <w:szCs w:val="14"/>
          <w:lang w:val="en-GB"/>
        </w:rPr>
        <w:t xml:space="preserve">TNC, Sharing the Benefits of REDD+ accessible at: </w:t>
      </w:r>
      <w:hyperlink r:id="rId2" w:history="1">
        <w:r w:rsidRPr="007957B9">
          <w:rPr>
            <w:rStyle w:val="Hyperlink"/>
            <w:rFonts w:ascii="Avenir Next" w:hAnsi="Avenir Next"/>
            <w:i/>
            <w:iCs/>
            <w:sz w:val="14"/>
            <w:szCs w:val="14"/>
            <w:lang w:val="en-GB"/>
          </w:rPr>
          <w:t>https://www.nature.org/content/dam/tnc/nature/en/documents/tnc_benefit%20sharing_web.pdf</w:t>
        </w:r>
      </w:hyperlink>
      <w:r w:rsidRPr="00B94FA4">
        <w:rPr>
          <w:rFonts w:ascii="Avenir Next" w:hAnsi="Avenir Next"/>
          <w:i/>
          <w:iCs/>
          <w:sz w:val="14"/>
          <w:szCs w:val="14"/>
          <w:lang w:val="en-GB"/>
        </w:rPr>
        <w:t xml:space="preserve"> </w:t>
      </w:r>
    </w:p>
  </w:footnote>
  <w:footnote w:id="3">
    <w:p w14:paraId="0A93D548" w14:textId="42C9A1B9" w:rsidR="00524B9A" w:rsidRPr="00524B9A" w:rsidRDefault="00524B9A">
      <w:pPr>
        <w:pStyle w:val="FootnoteText"/>
        <w:rPr>
          <w:lang w:val="en-GB"/>
        </w:rPr>
      </w:pPr>
      <w:r>
        <w:rPr>
          <w:rStyle w:val="FootnoteReference"/>
        </w:rPr>
        <w:footnoteRef/>
      </w:r>
      <w:r>
        <w:t xml:space="preserve"> </w:t>
      </w:r>
      <w:r>
        <w:rPr>
          <w:rFonts w:ascii="Avenir Next" w:hAnsi="Avenir Next"/>
          <w:i/>
          <w:iCs/>
          <w:sz w:val="14"/>
          <w:szCs w:val="14"/>
          <w:lang w:val="en-GB"/>
        </w:rPr>
        <w:t xml:space="preserve">CIFOR, Designing REDD+ benefit sharing mechanisms: from policy to practice, accessible at  </w:t>
      </w:r>
      <w:hyperlink r:id="rId3" w:history="1">
        <w:r w:rsidRPr="007957B9">
          <w:rPr>
            <w:rStyle w:val="Hyperlink"/>
            <w:rFonts w:ascii="Avenir Next" w:hAnsi="Avenir Next"/>
            <w:i/>
            <w:iCs/>
            <w:sz w:val="14"/>
            <w:szCs w:val="14"/>
            <w:lang w:val="en-GB"/>
          </w:rPr>
          <w:t>https://www.cifor.org/publications/pdf_files/Books/REDD-Benefit-Sharing.pdf</w:t>
        </w:r>
      </w:hyperlink>
    </w:p>
  </w:footnote>
  <w:footnote w:id="4">
    <w:p w14:paraId="5D86DF05" w14:textId="09BC410A" w:rsidR="00EF503F" w:rsidRPr="00EF503F" w:rsidRDefault="00EF503F">
      <w:pPr>
        <w:pStyle w:val="FootnoteText"/>
        <w:rPr>
          <w:sz w:val="14"/>
          <w:szCs w:val="14"/>
          <w:lang w:val="en-GB"/>
        </w:rPr>
      </w:pPr>
      <w:r w:rsidRPr="00EF503F">
        <w:rPr>
          <w:rStyle w:val="FootnoteReference"/>
          <w:sz w:val="14"/>
          <w:szCs w:val="14"/>
        </w:rPr>
        <w:footnoteRef/>
      </w:r>
      <w:r w:rsidRPr="00EF503F">
        <w:rPr>
          <w:i/>
          <w:iCs/>
          <w:sz w:val="14"/>
          <w:szCs w:val="14"/>
        </w:rPr>
        <w:t xml:space="preserve"> </w:t>
      </w:r>
      <w:r w:rsidRPr="00EF503F">
        <w:rPr>
          <w:rFonts w:ascii="Avenir Next" w:hAnsi="Avenir Next"/>
          <w:i/>
          <w:iCs/>
          <w:sz w:val="14"/>
          <w:szCs w:val="14"/>
          <w:lang w:val="en-GB"/>
        </w:rPr>
        <w:t>Ibid</w:t>
      </w:r>
    </w:p>
  </w:footnote>
  <w:footnote w:id="5">
    <w:p w14:paraId="3E09F44B" w14:textId="7C0A388B" w:rsidR="00EE744F" w:rsidRPr="00EE744F" w:rsidRDefault="00EE744F">
      <w:pPr>
        <w:pStyle w:val="FootnoteText"/>
        <w:rPr>
          <w:lang w:val="en-GB"/>
        </w:rPr>
      </w:pPr>
      <w:r>
        <w:rPr>
          <w:rStyle w:val="FootnoteReference"/>
        </w:rPr>
        <w:footnoteRef/>
      </w:r>
      <w:r>
        <w:t xml:space="preserve"> </w:t>
      </w:r>
      <w:r w:rsidRPr="00EE744F">
        <w:rPr>
          <w:rFonts w:ascii="Avenir Next" w:hAnsi="Avenir Next"/>
          <w:sz w:val="14"/>
          <w:szCs w:val="14"/>
        </w:rPr>
        <w:t xml:space="preserve">More details in: PwC. 2012. </w:t>
      </w:r>
      <w:r w:rsidRPr="00EE744F">
        <w:rPr>
          <w:rFonts w:ascii="Avenir Next" w:hAnsi="Avenir Next"/>
          <w:i/>
          <w:iCs/>
          <w:sz w:val="14"/>
          <w:szCs w:val="14"/>
        </w:rPr>
        <w:t xml:space="preserve">Assessing Options for Effective Mechanisms to Share Benefits: Insights for REDD+ Initiatives. </w:t>
      </w:r>
      <w:r w:rsidRPr="00EE744F">
        <w:rPr>
          <w:rFonts w:ascii="Avenir Next" w:hAnsi="Avenir Next"/>
          <w:sz w:val="14"/>
          <w:szCs w:val="14"/>
        </w:rPr>
        <w:t>Washington, DC: Program on Forests (PROFOR)</w:t>
      </w:r>
    </w:p>
  </w:footnote>
  <w:footnote w:id="6">
    <w:p w14:paraId="7C1E174A" w14:textId="77777777" w:rsidR="00EE744F" w:rsidRPr="00EE744F" w:rsidRDefault="00EE744F" w:rsidP="00EE744F">
      <w:pPr>
        <w:pStyle w:val="FootnoteText"/>
        <w:rPr>
          <w:rFonts w:ascii="Avenir Next" w:hAnsi="Avenir Next"/>
          <w:sz w:val="14"/>
          <w:szCs w:val="14"/>
        </w:rPr>
      </w:pPr>
      <w:r w:rsidRPr="00EE744F">
        <w:rPr>
          <w:rStyle w:val="FootnoteReference"/>
          <w:rFonts w:ascii="Avenir Next" w:hAnsi="Avenir Next"/>
          <w:sz w:val="14"/>
          <w:szCs w:val="14"/>
        </w:rPr>
        <w:footnoteRef/>
      </w:r>
      <w:r w:rsidRPr="00EE744F">
        <w:rPr>
          <w:rFonts w:ascii="Avenir Next" w:hAnsi="Avenir Next"/>
          <w:sz w:val="14"/>
          <w:szCs w:val="14"/>
        </w:rPr>
        <w:t xml:space="preserve"> Note: barriers could include physical inaccessibility, language barriers, special needs, characteristics of vulnerable or marginalized groups, among others.</w:t>
      </w:r>
    </w:p>
  </w:footnote>
  <w:footnote w:id="7">
    <w:p w14:paraId="59FAE5FB" w14:textId="2C0AABDF" w:rsidR="00EE744F" w:rsidRPr="00EE744F" w:rsidRDefault="00EE744F" w:rsidP="00EE744F">
      <w:pPr>
        <w:rPr>
          <w:rFonts w:ascii="Avenir Next" w:hAnsi="Avenir Next"/>
          <w:sz w:val="14"/>
          <w:szCs w:val="14"/>
        </w:rPr>
      </w:pPr>
      <w:r w:rsidRPr="00EE744F">
        <w:rPr>
          <w:rStyle w:val="FootnoteReference"/>
          <w:rFonts w:ascii="Avenir Next" w:hAnsi="Avenir Next"/>
          <w:sz w:val="14"/>
          <w:szCs w:val="14"/>
        </w:rPr>
        <w:footnoteRef/>
      </w:r>
      <w:r w:rsidRPr="00EE744F">
        <w:rPr>
          <w:rFonts w:ascii="Avenir Next" w:hAnsi="Avenir Next"/>
          <w:sz w:val="14"/>
          <w:szCs w:val="14"/>
        </w:rPr>
        <w:t xml:space="preserve"> Note: Please consider that non-monetary incentives can include goods, services, or others, that provide a direct incentive to Beneficiaries to help implement the </w:t>
      </w:r>
      <w:proofErr w:type="spellStart"/>
      <w:r w:rsidRPr="00EE744F">
        <w:rPr>
          <w:rFonts w:ascii="Avenir Next" w:hAnsi="Avenir Next"/>
          <w:sz w:val="14"/>
          <w:szCs w:val="14"/>
        </w:rPr>
        <w:t>PaM</w:t>
      </w:r>
      <w:proofErr w:type="spellEnd"/>
      <w:r w:rsidRPr="00EE744F">
        <w:rPr>
          <w:rFonts w:ascii="Avenir Next" w:hAnsi="Avenir Next"/>
          <w:sz w:val="14"/>
          <w:szCs w:val="14"/>
        </w:rPr>
        <w:t xml:space="preserve"> and can be monitored in an objective manner (e.g., technical assistance, capacity building, law enforcement, and in-kind inputs or investments such as seedlings, equipment, buildings, etc.).  Please consider that Monetary benefits typically involve monetary transactions to a determined group of beneficiaries compensating for the efforts and contributions of selected stakeholders involved in the implementation of the </w:t>
      </w:r>
      <w:proofErr w:type="spellStart"/>
      <w:r w:rsidRPr="00EE744F">
        <w:rPr>
          <w:rFonts w:ascii="Avenir Next" w:hAnsi="Avenir Next"/>
          <w:sz w:val="14"/>
          <w:szCs w:val="14"/>
        </w:rPr>
        <w:t>PaM.</w:t>
      </w:r>
      <w:proofErr w:type="spellEnd"/>
      <w:r w:rsidRPr="00EE744F">
        <w:rPr>
          <w:rFonts w:ascii="Avenir Next" w:hAnsi="Avenir Next"/>
          <w:sz w:val="14"/>
          <w:szCs w:val="14"/>
        </w:rPr>
        <w:t xml:space="preserve"> Monetary benefits are sometimes also referred to as cash payments, which can be based on performance or not.</w:t>
      </w:r>
    </w:p>
  </w:footnote>
  <w:footnote w:id="8">
    <w:p w14:paraId="0955BEBB" w14:textId="77777777" w:rsidR="00EE744F" w:rsidRDefault="00EE744F" w:rsidP="00EE744F">
      <w:pPr>
        <w:pStyle w:val="FootnoteText"/>
      </w:pPr>
      <w:r w:rsidRPr="00EE744F">
        <w:rPr>
          <w:rStyle w:val="FootnoteReference"/>
          <w:rFonts w:ascii="Avenir Next" w:hAnsi="Avenir Next"/>
          <w:sz w:val="14"/>
          <w:szCs w:val="14"/>
        </w:rPr>
        <w:footnoteRef/>
      </w:r>
      <w:r w:rsidRPr="00EE744F">
        <w:rPr>
          <w:rFonts w:ascii="Avenir Next" w:hAnsi="Avenir Next"/>
          <w:sz w:val="14"/>
          <w:szCs w:val="14"/>
        </w:rPr>
        <w:t xml:space="preserve"> Note: The allocation could include considerations to vertically -different government levels-, horizontally -among communities, </w:t>
      </w:r>
      <w:proofErr w:type="gramStart"/>
      <w:r w:rsidRPr="00EE744F">
        <w:rPr>
          <w:rFonts w:ascii="Avenir Next" w:hAnsi="Avenir Next"/>
          <w:sz w:val="14"/>
          <w:szCs w:val="14"/>
        </w:rPr>
        <w:t>households,-</w:t>
      </w:r>
      <w:proofErr w:type="gramEnd"/>
      <w:r w:rsidRPr="00EE744F">
        <w:rPr>
          <w:rFonts w:ascii="Avenir Next" w:hAnsi="Avenir Next"/>
          <w:sz w:val="14"/>
          <w:szCs w:val="14"/>
        </w:rPr>
        <w:t xml:space="preserve"> or according to results achieved, effort made, or any other consideration or needs.</w:t>
      </w:r>
    </w:p>
  </w:footnote>
  <w:footnote w:id="9">
    <w:p w14:paraId="3982B8AB" w14:textId="77777777" w:rsidR="00EE744F" w:rsidRPr="00EE744F" w:rsidRDefault="00EE744F" w:rsidP="00EE744F">
      <w:pPr>
        <w:pStyle w:val="FootnoteText"/>
        <w:rPr>
          <w:rFonts w:ascii="Avenir Next" w:hAnsi="Avenir Next"/>
          <w:sz w:val="14"/>
          <w:szCs w:val="14"/>
        </w:rPr>
      </w:pPr>
      <w:r w:rsidRPr="00EE744F">
        <w:rPr>
          <w:rStyle w:val="FootnoteReference"/>
          <w:rFonts w:ascii="Avenir Next" w:hAnsi="Avenir Next"/>
          <w:sz w:val="14"/>
          <w:szCs w:val="14"/>
        </w:rPr>
        <w:footnoteRef/>
      </w:r>
      <w:r w:rsidRPr="00EE744F">
        <w:rPr>
          <w:rFonts w:ascii="Avenir Next" w:hAnsi="Avenir Next"/>
          <w:sz w:val="14"/>
          <w:szCs w:val="14"/>
        </w:rPr>
        <w:t xml:space="preserve"> </w:t>
      </w:r>
      <w:r w:rsidRPr="00EE744F">
        <w:rPr>
          <w:rFonts w:ascii="Avenir Next" w:eastAsia="Calibri" w:hAnsi="Avenir Next" w:cs="Arial"/>
          <w:sz w:val="14"/>
          <w:szCs w:val="14"/>
        </w:rPr>
        <w:t>Note: the decision making might be allocated in current processes such as steering committees, interinstitutional decision-making platforms, or others. The structures needed for receiving, managing and disbursing funds might include existing institutions such as ministries, funds, among others.</w:t>
      </w:r>
    </w:p>
  </w:footnote>
  <w:footnote w:id="10">
    <w:p w14:paraId="66F33C74" w14:textId="77777777" w:rsidR="00EE744F" w:rsidRDefault="00EE744F" w:rsidP="00EE744F">
      <w:pPr>
        <w:pStyle w:val="FootnoteText"/>
      </w:pPr>
      <w:r>
        <w:rPr>
          <w:rStyle w:val="FootnoteReference"/>
        </w:rPr>
        <w:footnoteRef/>
      </w:r>
      <w:r>
        <w:t xml:space="preserve"> </w:t>
      </w:r>
      <w:r w:rsidRPr="00490086">
        <w:rPr>
          <w:sz w:val="16"/>
          <w:szCs w:val="16"/>
        </w:rPr>
        <w:t>Note: Alignment could imply utilizing current mechanism and institutions to operate or create new ones in accordance to plans and legislations.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B2DFA"/>
    <w:multiLevelType w:val="hybridMultilevel"/>
    <w:tmpl w:val="09626BD4"/>
    <w:lvl w:ilvl="0" w:tplc="2C1C772C">
      <w:start w:val="1"/>
      <w:numFmt w:val="bullet"/>
      <w:lvlText w:val=""/>
      <w:lvlJc w:val="left"/>
      <w:pPr>
        <w:ind w:left="400" w:hanging="360"/>
      </w:pPr>
      <w:rPr>
        <w:rFonts w:ascii="Symbol" w:hAnsi="Symbol"/>
      </w:rPr>
    </w:lvl>
    <w:lvl w:ilvl="1" w:tplc="71F09612">
      <w:start w:val="1"/>
      <w:numFmt w:val="bullet"/>
      <w:lvlText w:val="o"/>
      <w:lvlJc w:val="left"/>
      <w:pPr>
        <w:ind w:left="800" w:hanging="360"/>
      </w:pPr>
      <w:rPr>
        <w:rFonts w:ascii="Courier New" w:hAnsi="Courier New"/>
      </w:rPr>
    </w:lvl>
    <w:lvl w:ilvl="2" w:tplc="C3D8D6D4">
      <w:start w:val="1"/>
      <w:numFmt w:val="bullet"/>
      <w:lvlText w:val=""/>
      <w:lvlJc w:val="left"/>
      <w:pPr>
        <w:ind w:left="1200" w:hanging="360"/>
      </w:pPr>
      <w:rPr>
        <w:rFonts w:ascii="Wingdings" w:hAnsi="Wingdings"/>
      </w:rPr>
    </w:lvl>
    <w:lvl w:ilvl="3" w:tplc="0BA870D0">
      <w:start w:val="1"/>
      <w:numFmt w:val="bullet"/>
      <w:lvlText w:val=""/>
      <w:lvlJc w:val="left"/>
      <w:pPr>
        <w:ind w:left="1600" w:hanging="360"/>
      </w:pPr>
      <w:rPr>
        <w:rFonts w:ascii="Symbol" w:hAnsi="Symbol"/>
      </w:rPr>
    </w:lvl>
    <w:lvl w:ilvl="4" w:tplc="561E4D58">
      <w:start w:val="1"/>
      <w:numFmt w:val="bullet"/>
      <w:lvlText w:val="o"/>
      <w:lvlJc w:val="left"/>
      <w:pPr>
        <w:ind w:left="2000" w:hanging="360"/>
      </w:pPr>
      <w:rPr>
        <w:rFonts w:ascii="Courier New" w:hAnsi="Courier New"/>
      </w:rPr>
    </w:lvl>
    <w:lvl w:ilvl="5" w:tplc="C19CFF6E">
      <w:start w:val="1"/>
      <w:numFmt w:val="bullet"/>
      <w:lvlText w:val=""/>
      <w:lvlJc w:val="left"/>
      <w:pPr>
        <w:ind w:left="2400" w:hanging="360"/>
      </w:pPr>
      <w:rPr>
        <w:rFonts w:ascii="Wingdings" w:hAnsi="Wingdings"/>
      </w:rPr>
    </w:lvl>
    <w:lvl w:ilvl="6" w:tplc="CC80D7DA">
      <w:start w:val="1"/>
      <w:numFmt w:val="bullet"/>
      <w:lvlText w:val=""/>
      <w:lvlJc w:val="left"/>
      <w:pPr>
        <w:ind w:left="2800" w:hanging="360"/>
      </w:pPr>
      <w:rPr>
        <w:rFonts w:ascii="Symbol" w:hAnsi="Symbol"/>
      </w:rPr>
    </w:lvl>
    <w:lvl w:ilvl="7" w:tplc="49AEF152">
      <w:start w:val="1"/>
      <w:numFmt w:val="bullet"/>
      <w:lvlText w:val="o"/>
      <w:lvlJc w:val="left"/>
      <w:pPr>
        <w:ind w:left="3200" w:hanging="360"/>
      </w:pPr>
      <w:rPr>
        <w:rFonts w:ascii="Courier New" w:hAnsi="Courier New"/>
      </w:rPr>
    </w:lvl>
    <w:lvl w:ilvl="8" w:tplc="570CEAE8">
      <w:numFmt w:val="decimal"/>
      <w:lvlText w:val=""/>
      <w:lvlJc w:val="left"/>
    </w:lvl>
  </w:abstractNum>
  <w:abstractNum w:abstractNumId="1" w15:restartNumberingAfterBreak="0">
    <w:nsid w:val="0BAC0240"/>
    <w:multiLevelType w:val="hybridMultilevel"/>
    <w:tmpl w:val="1E32AC0A"/>
    <w:lvl w:ilvl="0" w:tplc="787207C8">
      <w:start w:val="1"/>
      <w:numFmt w:val="bullet"/>
      <w:lvlText w:val=""/>
      <w:lvlJc w:val="left"/>
      <w:pPr>
        <w:ind w:left="400" w:hanging="360"/>
      </w:pPr>
      <w:rPr>
        <w:rFonts w:ascii="Symbol" w:hAnsi="Symbol"/>
      </w:rPr>
    </w:lvl>
    <w:lvl w:ilvl="1" w:tplc="BE9E4DDC">
      <w:start w:val="1"/>
      <w:numFmt w:val="bullet"/>
      <w:lvlText w:val="o"/>
      <w:lvlJc w:val="left"/>
      <w:pPr>
        <w:ind w:left="800" w:hanging="360"/>
      </w:pPr>
      <w:rPr>
        <w:rFonts w:ascii="Courier New" w:hAnsi="Courier New"/>
      </w:rPr>
    </w:lvl>
    <w:lvl w:ilvl="2" w:tplc="6354FCCC">
      <w:start w:val="1"/>
      <w:numFmt w:val="bullet"/>
      <w:lvlText w:val=""/>
      <w:lvlJc w:val="left"/>
      <w:pPr>
        <w:ind w:left="1200" w:hanging="360"/>
      </w:pPr>
      <w:rPr>
        <w:rFonts w:ascii="Wingdings" w:hAnsi="Wingdings"/>
      </w:rPr>
    </w:lvl>
    <w:lvl w:ilvl="3" w:tplc="AA06512C">
      <w:start w:val="1"/>
      <w:numFmt w:val="bullet"/>
      <w:lvlText w:val=""/>
      <w:lvlJc w:val="left"/>
      <w:pPr>
        <w:ind w:left="1600" w:hanging="360"/>
      </w:pPr>
      <w:rPr>
        <w:rFonts w:ascii="Symbol" w:hAnsi="Symbol"/>
      </w:rPr>
    </w:lvl>
    <w:lvl w:ilvl="4" w:tplc="96D6174C">
      <w:start w:val="1"/>
      <w:numFmt w:val="bullet"/>
      <w:lvlText w:val="o"/>
      <w:lvlJc w:val="left"/>
      <w:pPr>
        <w:ind w:left="2000" w:hanging="360"/>
      </w:pPr>
      <w:rPr>
        <w:rFonts w:ascii="Courier New" w:hAnsi="Courier New"/>
      </w:rPr>
    </w:lvl>
    <w:lvl w:ilvl="5" w:tplc="0CFECF96">
      <w:start w:val="1"/>
      <w:numFmt w:val="bullet"/>
      <w:lvlText w:val=""/>
      <w:lvlJc w:val="left"/>
      <w:pPr>
        <w:ind w:left="2400" w:hanging="360"/>
      </w:pPr>
      <w:rPr>
        <w:rFonts w:ascii="Wingdings" w:hAnsi="Wingdings"/>
      </w:rPr>
    </w:lvl>
    <w:lvl w:ilvl="6" w:tplc="5C98BA52">
      <w:start w:val="1"/>
      <w:numFmt w:val="bullet"/>
      <w:lvlText w:val=""/>
      <w:lvlJc w:val="left"/>
      <w:pPr>
        <w:ind w:left="2800" w:hanging="360"/>
      </w:pPr>
      <w:rPr>
        <w:rFonts w:ascii="Symbol" w:hAnsi="Symbol"/>
      </w:rPr>
    </w:lvl>
    <w:lvl w:ilvl="7" w:tplc="945281FA">
      <w:start w:val="1"/>
      <w:numFmt w:val="bullet"/>
      <w:lvlText w:val="o"/>
      <w:lvlJc w:val="left"/>
      <w:pPr>
        <w:ind w:left="3200" w:hanging="360"/>
      </w:pPr>
      <w:rPr>
        <w:rFonts w:ascii="Courier New" w:hAnsi="Courier New"/>
      </w:rPr>
    </w:lvl>
    <w:lvl w:ilvl="8" w:tplc="B7E67C90">
      <w:numFmt w:val="decimal"/>
      <w:lvlText w:val=""/>
      <w:lvlJc w:val="left"/>
    </w:lvl>
  </w:abstractNum>
  <w:abstractNum w:abstractNumId="2" w15:restartNumberingAfterBreak="0">
    <w:nsid w:val="0DE411F5"/>
    <w:multiLevelType w:val="hybridMultilevel"/>
    <w:tmpl w:val="38E8A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65485C"/>
    <w:multiLevelType w:val="hybridMultilevel"/>
    <w:tmpl w:val="44C81E8A"/>
    <w:lvl w:ilvl="0" w:tplc="DA36D134">
      <w:start w:val="1"/>
      <w:numFmt w:val="bullet"/>
      <w:lvlText w:val=""/>
      <w:lvlJc w:val="left"/>
      <w:pPr>
        <w:ind w:left="400" w:hanging="360"/>
      </w:pPr>
      <w:rPr>
        <w:rFonts w:ascii="Symbol" w:hAnsi="Symbol"/>
      </w:rPr>
    </w:lvl>
    <w:lvl w:ilvl="1" w:tplc="570A9CF4">
      <w:start w:val="1"/>
      <w:numFmt w:val="bullet"/>
      <w:lvlText w:val="o"/>
      <w:lvlJc w:val="left"/>
      <w:pPr>
        <w:ind w:left="800" w:hanging="360"/>
      </w:pPr>
      <w:rPr>
        <w:rFonts w:ascii="Courier New" w:hAnsi="Courier New"/>
      </w:rPr>
    </w:lvl>
    <w:lvl w:ilvl="2" w:tplc="CC208A6A">
      <w:start w:val="1"/>
      <w:numFmt w:val="bullet"/>
      <w:lvlText w:val=""/>
      <w:lvlJc w:val="left"/>
      <w:pPr>
        <w:ind w:left="1200" w:hanging="360"/>
      </w:pPr>
      <w:rPr>
        <w:rFonts w:ascii="Wingdings" w:hAnsi="Wingdings"/>
      </w:rPr>
    </w:lvl>
    <w:lvl w:ilvl="3" w:tplc="7866416E">
      <w:start w:val="1"/>
      <w:numFmt w:val="bullet"/>
      <w:lvlText w:val=""/>
      <w:lvlJc w:val="left"/>
      <w:pPr>
        <w:ind w:left="1600" w:hanging="360"/>
      </w:pPr>
      <w:rPr>
        <w:rFonts w:ascii="Symbol" w:hAnsi="Symbol"/>
      </w:rPr>
    </w:lvl>
    <w:lvl w:ilvl="4" w:tplc="63622348">
      <w:start w:val="1"/>
      <w:numFmt w:val="bullet"/>
      <w:lvlText w:val="o"/>
      <w:lvlJc w:val="left"/>
      <w:pPr>
        <w:ind w:left="2000" w:hanging="360"/>
      </w:pPr>
      <w:rPr>
        <w:rFonts w:ascii="Courier New" w:hAnsi="Courier New"/>
      </w:rPr>
    </w:lvl>
    <w:lvl w:ilvl="5" w:tplc="0102EE2C">
      <w:start w:val="1"/>
      <w:numFmt w:val="bullet"/>
      <w:lvlText w:val=""/>
      <w:lvlJc w:val="left"/>
      <w:pPr>
        <w:ind w:left="2400" w:hanging="360"/>
      </w:pPr>
      <w:rPr>
        <w:rFonts w:ascii="Wingdings" w:hAnsi="Wingdings"/>
      </w:rPr>
    </w:lvl>
    <w:lvl w:ilvl="6" w:tplc="D5687CC4">
      <w:start w:val="1"/>
      <w:numFmt w:val="bullet"/>
      <w:lvlText w:val=""/>
      <w:lvlJc w:val="left"/>
      <w:pPr>
        <w:ind w:left="2800" w:hanging="360"/>
      </w:pPr>
      <w:rPr>
        <w:rFonts w:ascii="Symbol" w:hAnsi="Symbol"/>
      </w:rPr>
    </w:lvl>
    <w:lvl w:ilvl="7" w:tplc="0A8A9512">
      <w:start w:val="1"/>
      <w:numFmt w:val="bullet"/>
      <w:lvlText w:val="o"/>
      <w:lvlJc w:val="left"/>
      <w:pPr>
        <w:ind w:left="3200" w:hanging="360"/>
      </w:pPr>
      <w:rPr>
        <w:rFonts w:ascii="Courier New" w:hAnsi="Courier New"/>
      </w:rPr>
    </w:lvl>
    <w:lvl w:ilvl="8" w:tplc="5622EA92">
      <w:numFmt w:val="decimal"/>
      <w:lvlText w:val=""/>
      <w:lvlJc w:val="left"/>
    </w:lvl>
  </w:abstractNum>
  <w:abstractNum w:abstractNumId="4" w15:restartNumberingAfterBreak="0">
    <w:nsid w:val="32D96772"/>
    <w:multiLevelType w:val="hybridMultilevel"/>
    <w:tmpl w:val="B59A8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BC494B"/>
    <w:multiLevelType w:val="hybridMultilevel"/>
    <w:tmpl w:val="13888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8BD6CAC"/>
    <w:multiLevelType w:val="hybridMultilevel"/>
    <w:tmpl w:val="C5A4A120"/>
    <w:lvl w:ilvl="0" w:tplc="D8CCB61C">
      <w:start w:val="1"/>
      <w:numFmt w:val="bullet"/>
      <w:lvlText w:val=""/>
      <w:lvlJc w:val="left"/>
      <w:pPr>
        <w:ind w:left="400" w:hanging="360"/>
      </w:pPr>
      <w:rPr>
        <w:rFonts w:ascii="Symbol" w:hAnsi="Symbol"/>
      </w:rPr>
    </w:lvl>
    <w:lvl w:ilvl="1" w:tplc="C660E12C">
      <w:start w:val="1"/>
      <w:numFmt w:val="bullet"/>
      <w:lvlText w:val="o"/>
      <w:lvlJc w:val="left"/>
      <w:pPr>
        <w:ind w:left="800" w:hanging="360"/>
      </w:pPr>
      <w:rPr>
        <w:rFonts w:ascii="Courier New" w:hAnsi="Courier New"/>
      </w:rPr>
    </w:lvl>
    <w:lvl w:ilvl="2" w:tplc="EE3654DC">
      <w:start w:val="1"/>
      <w:numFmt w:val="bullet"/>
      <w:lvlText w:val=""/>
      <w:lvlJc w:val="left"/>
      <w:pPr>
        <w:ind w:left="1200" w:hanging="360"/>
      </w:pPr>
      <w:rPr>
        <w:rFonts w:ascii="Wingdings" w:hAnsi="Wingdings"/>
      </w:rPr>
    </w:lvl>
    <w:lvl w:ilvl="3" w:tplc="0BBEEBCA">
      <w:start w:val="1"/>
      <w:numFmt w:val="bullet"/>
      <w:lvlText w:val=""/>
      <w:lvlJc w:val="left"/>
      <w:pPr>
        <w:ind w:left="1600" w:hanging="360"/>
      </w:pPr>
      <w:rPr>
        <w:rFonts w:ascii="Symbol" w:hAnsi="Symbol"/>
      </w:rPr>
    </w:lvl>
    <w:lvl w:ilvl="4" w:tplc="325C3B2A">
      <w:start w:val="1"/>
      <w:numFmt w:val="bullet"/>
      <w:lvlText w:val="o"/>
      <w:lvlJc w:val="left"/>
      <w:pPr>
        <w:ind w:left="2000" w:hanging="360"/>
      </w:pPr>
      <w:rPr>
        <w:rFonts w:ascii="Courier New" w:hAnsi="Courier New"/>
      </w:rPr>
    </w:lvl>
    <w:lvl w:ilvl="5" w:tplc="4E06A89E">
      <w:start w:val="1"/>
      <w:numFmt w:val="bullet"/>
      <w:lvlText w:val=""/>
      <w:lvlJc w:val="left"/>
      <w:pPr>
        <w:ind w:left="2400" w:hanging="360"/>
      </w:pPr>
      <w:rPr>
        <w:rFonts w:ascii="Wingdings" w:hAnsi="Wingdings"/>
      </w:rPr>
    </w:lvl>
    <w:lvl w:ilvl="6" w:tplc="62FE23AE">
      <w:start w:val="1"/>
      <w:numFmt w:val="bullet"/>
      <w:lvlText w:val=""/>
      <w:lvlJc w:val="left"/>
      <w:pPr>
        <w:ind w:left="2800" w:hanging="360"/>
      </w:pPr>
      <w:rPr>
        <w:rFonts w:ascii="Symbol" w:hAnsi="Symbol"/>
      </w:rPr>
    </w:lvl>
    <w:lvl w:ilvl="7" w:tplc="4378BABE">
      <w:start w:val="1"/>
      <w:numFmt w:val="bullet"/>
      <w:lvlText w:val="o"/>
      <w:lvlJc w:val="left"/>
      <w:pPr>
        <w:ind w:left="3200" w:hanging="360"/>
      </w:pPr>
      <w:rPr>
        <w:rFonts w:ascii="Courier New" w:hAnsi="Courier New"/>
      </w:rPr>
    </w:lvl>
    <w:lvl w:ilvl="8" w:tplc="B0D68E0E">
      <w:numFmt w:val="decimal"/>
      <w:lvlText w:val=""/>
      <w:lvlJc w:val="left"/>
    </w:lvl>
  </w:abstractNum>
  <w:abstractNum w:abstractNumId="7" w15:restartNumberingAfterBreak="0">
    <w:nsid w:val="38FF3F8D"/>
    <w:multiLevelType w:val="hybridMultilevel"/>
    <w:tmpl w:val="9E827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B8F7978"/>
    <w:multiLevelType w:val="hybridMultilevel"/>
    <w:tmpl w:val="767A89D2"/>
    <w:lvl w:ilvl="0" w:tplc="D842F87C">
      <w:start w:val="1"/>
      <w:numFmt w:val="decimal"/>
      <w:lvlText w:val="%1."/>
      <w:lvlJc w:val="left"/>
      <w:pPr>
        <w:ind w:left="400" w:hanging="360"/>
      </w:pPr>
    </w:lvl>
    <w:lvl w:ilvl="1" w:tplc="4B60F856">
      <w:start w:val="1"/>
      <w:numFmt w:val="lowerLetter"/>
      <w:lvlText w:val="%2."/>
      <w:lvlJc w:val="left"/>
      <w:pPr>
        <w:ind w:left="800" w:hanging="360"/>
      </w:pPr>
    </w:lvl>
    <w:lvl w:ilvl="2" w:tplc="9B569AA8">
      <w:start w:val="1"/>
      <w:numFmt w:val="lowerRoman"/>
      <w:lvlText w:val="%3."/>
      <w:lvlJc w:val="right"/>
      <w:pPr>
        <w:ind w:left="1200" w:hanging="180"/>
      </w:pPr>
    </w:lvl>
    <w:lvl w:ilvl="3" w:tplc="A3F67E9C">
      <w:start w:val="1"/>
      <w:numFmt w:val="decimal"/>
      <w:lvlText w:val="%4."/>
      <w:lvlJc w:val="left"/>
      <w:pPr>
        <w:ind w:left="1600" w:hanging="360"/>
      </w:pPr>
    </w:lvl>
    <w:lvl w:ilvl="4" w:tplc="AB2EB132">
      <w:start w:val="1"/>
      <w:numFmt w:val="lowerLetter"/>
      <w:lvlText w:val="%5."/>
      <w:lvlJc w:val="left"/>
      <w:pPr>
        <w:ind w:left="2000" w:hanging="360"/>
      </w:pPr>
    </w:lvl>
    <w:lvl w:ilvl="5" w:tplc="7184505A">
      <w:start w:val="1"/>
      <w:numFmt w:val="lowerRoman"/>
      <w:lvlText w:val="%6."/>
      <w:lvlJc w:val="right"/>
      <w:pPr>
        <w:ind w:left="2400" w:hanging="180"/>
      </w:pPr>
    </w:lvl>
    <w:lvl w:ilvl="6" w:tplc="DBFA862C">
      <w:start w:val="1"/>
      <w:numFmt w:val="decimal"/>
      <w:lvlText w:val="%7."/>
      <w:lvlJc w:val="left"/>
      <w:pPr>
        <w:ind w:left="2800" w:hanging="360"/>
      </w:pPr>
    </w:lvl>
    <w:lvl w:ilvl="7" w:tplc="D6F61B10">
      <w:start w:val="1"/>
      <w:numFmt w:val="lowerLetter"/>
      <w:lvlText w:val="%8."/>
      <w:lvlJc w:val="left"/>
      <w:pPr>
        <w:ind w:left="3200" w:hanging="360"/>
      </w:pPr>
    </w:lvl>
    <w:lvl w:ilvl="8" w:tplc="B23C518C">
      <w:numFmt w:val="decimal"/>
      <w:lvlText w:val=""/>
      <w:lvlJc w:val="left"/>
    </w:lvl>
  </w:abstractNum>
  <w:abstractNum w:abstractNumId="9" w15:restartNumberingAfterBreak="0">
    <w:nsid w:val="51E32566"/>
    <w:multiLevelType w:val="hybridMultilevel"/>
    <w:tmpl w:val="F0F23E30"/>
    <w:lvl w:ilvl="0" w:tplc="00307824">
      <w:start w:val="1"/>
      <w:numFmt w:val="bullet"/>
      <w:lvlText w:val=""/>
      <w:lvlJc w:val="left"/>
      <w:pPr>
        <w:ind w:left="400" w:hanging="360"/>
      </w:pPr>
      <w:rPr>
        <w:rFonts w:ascii="Symbol" w:hAnsi="Symbol"/>
      </w:rPr>
    </w:lvl>
    <w:lvl w:ilvl="1" w:tplc="82D83E3E">
      <w:start w:val="1"/>
      <w:numFmt w:val="bullet"/>
      <w:lvlText w:val="o"/>
      <w:lvlJc w:val="left"/>
      <w:pPr>
        <w:ind w:left="800" w:hanging="360"/>
      </w:pPr>
      <w:rPr>
        <w:rFonts w:ascii="Courier New" w:hAnsi="Courier New"/>
      </w:rPr>
    </w:lvl>
    <w:lvl w:ilvl="2" w:tplc="3AC6159C">
      <w:start w:val="1"/>
      <w:numFmt w:val="bullet"/>
      <w:lvlText w:val=""/>
      <w:lvlJc w:val="left"/>
      <w:pPr>
        <w:ind w:left="1200" w:hanging="360"/>
      </w:pPr>
      <w:rPr>
        <w:rFonts w:ascii="Wingdings" w:hAnsi="Wingdings"/>
      </w:rPr>
    </w:lvl>
    <w:lvl w:ilvl="3" w:tplc="51C2F4E4">
      <w:start w:val="1"/>
      <w:numFmt w:val="bullet"/>
      <w:lvlText w:val=""/>
      <w:lvlJc w:val="left"/>
      <w:pPr>
        <w:ind w:left="1600" w:hanging="360"/>
      </w:pPr>
      <w:rPr>
        <w:rFonts w:ascii="Symbol" w:hAnsi="Symbol"/>
      </w:rPr>
    </w:lvl>
    <w:lvl w:ilvl="4" w:tplc="8D569B78">
      <w:start w:val="1"/>
      <w:numFmt w:val="bullet"/>
      <w:lvlText w:val="o"/>
      <w:lvlJc w:val="left"/>
      <w:pPr>
        <w:ind w:left="2000" w:hanging="360"/>
      </w:pPr>
      <w:rPr>
        <w:rFonts w:ascii="Courier New" w:hAnsi="Courier New"/>
      </w:rPr>
    </w:lvl>
    <w:lvl w:ilvl="5" w:tplc="D44E30B2">
      <w:start w:val="1"/>
      <w:numFmt w:val="bullet"/>
      <w:lvlText w:val=""/>
      <w:lvlJc w:val="left"/>
      <w:pPr>
        <w:ind w:left="2400" w:hanging="360"/>
      </w:pPr>
      <w:rPr>
        <w:rFonts w:ascii="Wingdings" w:hAnsi="Wingdings"/>
      </w:rPr>
    </w:lvl>
    <w:lvl w:ilvl="6" w:tplc="7D6050DE">
      <w:start w:val="1"/>
      <w:numFmt w:val="bullet"/>
      <w:lvlText w:val=""/>
      <w:lvlJc w:val="left"/>
      <w:pPr>
        <w:ind w:left="2800" w:hanging="360"/>
      </w:pPr>
      <w:rPr>
        <w:rFonts w:ascii="Symbol" w:hAnsi="Symbol"/>
      </w:rPr>
    </w:lvl>
    <w:lvl w:ilvl="7" w:tplc="E1CAAFB4">
      <w:start w:val="1"/>
      <w:numFmt w:val="bullet"/>
      <w:lvlText w:val="o"/>
      <w:lvlJc w:val="left"/>
      <w:pPr>
        <w:ind w:left="3200" w:hanging="360"/>
      </w:pPr>
      <w:rPr>
        <w:rFonts w:ascii="Courier New" w:hAnsi="Courier New"/>
      </w:rPr>
    </w:lvl>
    <w:lvl w:ilvl="8" w:tplc="21C8547E">
      <w:numFmt w:val="decimal"/>
      <w:lvlText w:val=""/>
      <w:lvlJc w:val="left"/>
    </w:lvl>
  </w:abstractNum>
  <w:abstractNum w:abstractNumId="10" w15:restartNumberingAfterBreak="0">
    <w:nsid w:val="5CA979D1"/>
    <w:multiLevelType w:val="hybridMultilevel"/>
    <w:tmpl w:val="3DBCE3FE"/>
    <w:lvl w:ilvl="0" w:tplc="17E4D228">
      <w:start w:val="1"/>
      <w:numFmt w:val="bullet"/>
      <w:lvlText w:val=""/>
      <w:lvlJc w:val="left"/>
      <w:pPr>
        <w:ind w:left="400" w:hanging="360"/>
      </w:pPr>
      <w:rPr>
        <w:rFonts w:ascii="Symbol" w:hAnsi="Symbol"/>
      </w:rPr>
    </w:lvl>
    <w:lvl w:ilvl="1" w:tplc="C04EEDB0">
      <w:start w:val="1"/>
      <w:numFmt w:val="bullet"/>
      <w:lvlText w:val="o"/>
      <w:lvlJc w:val="left"/>
      <w:pPr>
        <w:ind w:left="800" w:hanging="360"/>
      </w:pPr>
      <w:rPr>
        <w:rFonts w:ascii="Courier New" w:hAnsi="Courier New"/>
      </w:rPr>
    </w:lvl>
    <w:lvl w:ilvl="2" w:tplc="08AC0C6A">
      <w:start w:val="1"/>
      <w:numFmt w:val="bullet"/>
      <w:lvlText w:val=""/>
      <w:lvlJc w:val="left"/>
      <w:pPr>
        <w:ind w:left="1200" w:hanging="360"/>
      </w:pPr>
      <w:rPr>
        <w:rFonts w:ascii="Wingdings" w:hAnsi="Wingdings"/>
      </w:rPr>
    </w:lvl>
    <w:lvl w:ilvl="3" w:tplc="C122DFD8">
      <w:start w:val="1"/>
      <w:numFmt w:val="bullet"/>
      <w:lvlText w:val=""/>
      <w:lvlJc w:val="left"/>
      <w:pPr>
        <w:ind w:left="1600" w:hanging="360"/>
      </w:pPr>
      <w:rPr>
        <w:rFonts w:ascii="Symbol" w:hAnsi="Symbol"/>
      </w:rPr>
    </w:lvl>
    <w:lvl w:ilvl="4" w:tplc="F71C768A">
      <w:start w:val="1"/>
      <w:numFmt w:val="bullet"/>
      <w:lvlText w:val="o"/>
      <w:lvlJc w:val="left"/>
      <w:pPr>
        <w:ind w:left="2000" w:hanging="360"/>
      </w:pPr>
      <w:rPr>
        <w:rFonts w:ascii="Courier New" w:hAnsi="Courier New"/>
      </w:rPr>
    </w:lvl>
    <w:lvl w:ilvl="5" w:tplc="F57AD024">
      <w:start w:val="1"/>
      <w:numFmt w:val="bullet"/>
      <w:lvlText w:val=""/>
      <w:lvlJc w:val="left"/>
      <w:pPr>
        <w:ind w:left="2400" w:hanging="360"/>
      </w:pPr>
      <w:rPr>
        <w:rFonts w:ascii="Wingdings" w:hAnsi="Wingdings"/>
      </w:rPr>
    </w:lvl>
    <w:lvl w:ilvl="6" w:tplc="B0F2B65A">
      <w:start w:val="1"/>
      <w:numFmt w:val="bullet"/>
      <w:lvlText w:val=""/>
      <w:lvlJc w:val="left"/>
      <w:pPr>
        <w:ind w:left="2800" w:hanging="360"/>
      </w:pPr>
      <w:rPr>
        <w:rFonts w:ascii="Symbol" w:hAnsi="Symbol"/>
      </w:rPr>
    </w:lvl>
    <w:lvl w:ilvl="7" w:tplc="1622711C">
      <w:start w:val="1"/>
      <w:numFmt w:val="bullet"/>
      <w:lvlText w:val="o"/>
      <w:lvlJc w:val="left"/>
      <w:pPr>
        <w:ind w:left="3200" w:hanging="360"/>
      </w:pPr>
      <w:rPr>
        <w:rFonts w:ascii="Courier New" w:hAnsi="Courier New"/>
      </w:rPr>
    </w:lvl>
    <w:lvl w:ilvl="8" w:tplc="B4EC792C">
      <w:numFmt w:val="decimal"/>
      <w:lvlText w:val=""/>
      <w:lvlJc w:val="left"/>
    </w:lvl>
  </w:abstractNum>
  <w:abstractNum w:abstractNumId="11" w15:restartNumberingAfterBreak="0">
    <w:nsid w:val="64893753"/>
    <w:multiLevelType w:val="hybridMultilevel"/>
    <w:tmpl w:val="62A861C6"/>
    <w:lvl w:ilvl="0" w:tplc="6AA2699E">
      <w:start w:val="1"/>
      <w:numFmt w:val="decimal"/>
      <w:lvlText w:val="%1."/>
      <w:lvlJc w:val="left"/>
      <w:pPr>
        <w:ind w:left="400" w:hanging="360"/>
      </w:pPr>
    </w:lvl>
    <w:lvl w:ilvl="1" w:tplc="5F500E12">
      <w:start w:val="1"/>
      <w:numFmt w:val="lowerLetter"/>
      <w:lvlText w:val="%2."/>
      <w:lvlJc w:val="left"/>
      <w:pPr>
        <w:ind w:left="800" w:hanging="360"/>
      </w:pPr>
    </w:lvl>
    <w:lvl w:ilvl="2" w:tplc="2506E1AA">
      <w:start w:val="1"/>
      <w:numFmt w:val="lowerRoman"/>
      <w:lvlText w:val="%3."/>
      <w:lvlJc w:val="right"/>
      <w:pPr>
        <w:ind w:left="1200" w:hanging="180"/>
      </w:pPr>
    </w:lvl>
    <w:lvl w:ilvl="3" w:tplc="F4FE3CD8">
      <w:start w:val="1"/>
      <w:numFmt w:val="decimal"/>
      <w:lvlText w:val="%4."/>
      <w:lvlJc w:val="left"/>
      <w:pPr>
        <w:ind w:left="1600" w:hanging="360"/>
      </w:pPr>
    </w:lvl>
    <w:lvl w:ilvl="4" w:tplc="A6B4D7EC">
      <w:start w:val="1"/>
      <w:numFmt w:val="lowerLetter"/>
      <w:lvlText w:val="%5."/>
      <w:lvlJc w:val="left"/>
      <w:pPr>
        <w:ind w:left="2000" w:hanging="360"/>
      </w:pPr>
    </w:lvl>
    <w:lvl w:ilvl="5" w:tplc="272C16A0">
      <w:start w:val="1"/>
      <w:numFmt w:val="lowerRoman"/>
      <w:lvlText w:val="%6."/>
      <w:lvlJc w:val="right"/>
      <w:pPr>
        <w:ind w:left="2400" w:hanging="180"/>
      </w:pPr>
    </w:lvl>
    <w:lvl w:ilvl="6" w:tplc="5032DFE8">
      <w:start w:val="1"/>
      <w:numFmt w:val="decimal"/>
      <w:lvlText w:val="%7."/>
      <w:lvlJc w:val="left"/>
      <w:pPr>
        <w:ind w:left="2800" w:hanging="360"/>
      </w:pPr>
    </w:lvl>
    <w:lvl w:ilvl="7" w:tplc="6F9054DE">
      <w:start w:val="1"/>
      <w:numFmt w:val="lowerLetter"/>
      <w:lvlText w:val="%8."/>
      <w:lvlJc w:val="left"/>
      <w:pPr>
        <w:ind w:left="3200" w:hanging="360"/>
      </w:pPr>
    </w:lvl>
    <w:lvl w:ilvl="8" w:tplc="3D9046A8">
      <w:numFmt w:val="decimal"/>
      <w:lvlText w:val=""/>
      <w:lvlJc w:val="left"/>
    </w:lvl>
  </w:abstractNum>
  <w:abstractNum w:abstractNumId="12" w15:restartNumberingAfterBreak="0">
    <w:nsid w:val="6526306C"/>
    <w:multiLevelType w:val="hybridMultilevel"/>
    <w:tmpl w:val="9BE4E2A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6A63428"/>
    <w:multiLevelType w:val="hybridMultilevel"/>
    <w:tmpl w:val="459E3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7156501"/>
    <w:multiLevelType w:val="hybridMultilevel"/>
    <w:tmpl w:val="2DEAB252"/>
    <w:lvl w:ilvl="0" w:tplc="94AC06D4">
      <w:start w:val="1"/>
      <w:numFmt w:val="bullet"/>
      <w:lvlText w:val=""/>
      <w:lvlJc w:val="left"/>
      <w:pPr>
        <w:ind w:left="400" w:hanging="360"/>
      </w:pPr>
      <w:rPr>
        <w:rFonts w:ascii="Symbol" w:hAnsi="Symbol"/>
      </w:rPr>
    </w:lvl>
    <w:lvl w:ilvl="1" w:tplc="62F0F83E">
      <w:start w:val="1"/>
      <w:numFmt w:val="bullet"/>
      <w:lvlText w:val="o"/>
      <w:lvlJc w:val="left"/>
      <w:pPr>
        <w:ind w:left="800" w:hanging="360"/>
      </w:pPr>
      <w:rPr>
        <w:rFonts w:ascii="Courier New" w:hAnsi="Courier New"/>
      </w:rPr>
    </w:lvl>
    <w:lvl w:ilvl="2" w:tplc="22580746">
      <w:start w:val="1"/>
      <w:numFmt w:val="bullet"/>
      <w:lvlText w:val=""/>
      <w:lvlJc w:val="left"/>
      <w:pPr>
        <w:ind w:left="1200" w:hanging="360"/>
      </w:pPr>
      <w:rPr>
        <w:rFonts w:ascii="Wingdings" w:hAnsi="Wingdings"/>
      </w:rPr>
    </w:lvl>
    <w:lvl w:ilvl="3" w:tplc="54D4B034">
      <w:start w:val="1"/>
      <w:numFmt w:val="bullet"/>
      <w:lvlText w:val=""/>
      <w:lvlJc w:val="left"/>
      <w:pPr>
        <w:ind w:left="1600" w:hanging="360"/>
      </w:pPr>
      <w:rPr>
        <w:rFonts w:ascii="Symbol" w:hAnsi="Symbol"/>
      </w:rPr>
    </w:lvl>
    <w:lvl w:ilvl="4" w:tplc="5BDA2C2A">
      <w:start w:val="1"/>
      <w:numFmt w:val="bullet"/>
      <w:lvlText w:val="o"/>
      <w:lvlJc w:val="left"/>
      <w:pPr>
        <w:ind w:left="2000" w:hanging="360"/>
      </w:pPr>
      <w:rPr>
        <w:rFonts w:ascii="Courier New" w:hAnsi="Courier New"/>
      </w:rPr>
    </w:lvl>
    <w:lvl w:ilvl="5" w:tplc="B5249A00">
      <w:start w:val="1"/>
      <w:numFmt w:val="bullet"/>
      <w:lvlText w:val=""/>
      <w:lvlJc w:val="left"/>
      <w:pPr>
        <w:ind w:left="2400" w:hanging="360"/>
      </w:pPr>
      <w:rPr>
        <w:rFonts w:ascii="Wingdings" w:hAnsi="Wingdings"/>
      </w:rPr>
    </w:lvl>
    <w:lvl w:ilvl="6" w:tplc="74182108">
      <w:start w:val="1"/>
      <w:numFmt w:val="bullet"/>
      <w:lvlText w:val=""/>
      <w:lvlJc w:val="left"/>
      <w:pPr>
        <w:ind w:left="2800" w:hanging="360"/>
      </w:pPr>
      <w:rPr>
        <w:rFonts w:ascii="Symbol" w:hAnsi="Symbol"/>
      </w:rPr>
    </w:lvl>
    <w:lvl w:ilvl="7" w:tplc="AE429AE4">
      <w:start w:val="1"/>
      <w:numFmt w:val="bullet"/>
      <w:lvlText w:val="o"/>
      <w:lvlJc w:val="left"/>
      <w:pPr>
        <w:ind w:left="3200" w:hanging="360"/>
      </w:pPr>
      <w:rPr>
        <w:rFonts w:ascii="Courier New" w:hAnsi="Courier New"/>
      </w:rPr>
    </w:lvl>
    <w:lvl w:ilvl="8" w:tplc="9050D79C">
      <w:numFmt w:val="decimal"/>
      <w:lvlText w:val=""/>
      <w:lvlJc w:val="left"/>
    </w:lvl>
  </w:abstractNum>
  <w:abstractNum w:abstractNumId="15" w15:restartNumberingAfterBreak="0">
    <w:nsid w:val="6AE94BCF"/>
    <w:multiLevelType w:val="hybridMultilevel"/>
    <w:tmpl w:val="2F9867AC"/>
    <w:lvl w:ilvl="0" w:tplc="ABD46E6E">
      <w:start w:val="1"/>
      <w:numFmt w:val="bullet"/>
      <w:lvlText w:val=""/>
      <w:lvlJc w:val="left"/>
      <w:pPr>
        <w:ind w:left="400" w:hanging="360"/>
      </w:pPr>
      <w:rPr>
        <w:rFonts w:ascii="Symbol" w:hAnsi="Symbol"/>
      </w:rPr>
    </w:lvl>
    <w:lvl w:ilvl="1" w:tplc="D9B238A2">
      <w:start w:val="1"/>
      <w:numFmt w:val="bullet"/>
      <w:lvlText w:val="o"/>
      <w:lvlJc w:val="left"/>
      <w:pPr>
        <w:ind w:left="800" w:hanging="360"/>
      </w:pPr>
      <w:rPr>
        <w:rFonts w:ascii="Courier New" w:hAnsi="Courier New"/>
      </w:rPr>
    </w:lvl>
    <w:lvl w:ilvl="2" w:tplc="0BDA29F4">
      <w:start w:val="1"/>
      <w:numFmt w:val="bullet"/>
      <w:lvlText w:val=""/>
      <w:lvlJc w:val="left"/>
      <w:pPr>
        <w:ind w:left="1200" w:hanging="360"/>
      </w:pPr>
      <w:rPr>
        <w:rFonts w:ascii="Wingdings" w:hAnsi="Wingdings"/>
      </w:rPr>
    </w:lvl>
    <w:lvl w:ilvl="3" w:tplc="C96A619E">
      <w:start w:val="1"/>
      <w:numFmt w:val="bullet"/>
      <w:lvlText w:val=""/>
      <w:lvlJc w:val="left"/>
      <w:pPr>
        <w:ind w:left="1600" w:hanging="360"/>
      </w:pPr>
      <w:rPr>
        <w:rFonts w:ascii="Symbol" w:hAnsi="Symbol"/>
      </w:rPr>
    </w:lvl>
    <w:lvl w:ilvl="4" w:tplc="4712CD06">
      <w:start w:val="1"/>
      <w:numFmt w:val="bullet"/>
      <w:lvlText w:val="o"/>
      <w:lvlJc w:val="left"/>
      <w:pPr>
        <w:ind w:left="2000" w:hanging="360"/>
      </w:pPr>
      <w:rPr>
        <w:rFonts w:ascii="Courier New" w:hAnsi="Courier New"/>
      </w:rPr>
    </w:lvl>
    <w:lvl w:ilvl="5" w:tplc="F93AE0F0">
      <w:start w:val="1"/>
      <w:numFmt w:val="bullet"/>
      <w:lvlText w:val=""/>
      <w:lvlJc w:val="left"/>
      <w:pPr>
        <w:ind w:left="2400" w:hanging="360"/>
      </w:pPr>
      <w:rPr>
        <w:rFonts w:ascii="Wingdings" w:hAnsi="Wingdings"/>
      </w:rPr>
    </w:lvl>
    <w:lvl w:ilvl="6" w:tplc="EABAA366">
      <w:start w:val="1"/>
      <w:numFmt w:val="bullet"/>
      <w:lvlText w:val=""/>
      <w:lvlJc w:val="left"/>
      <w:pPr>
        <w:ind w:left="2800" w:hanging="360"/>
      </w:pPr>
      <w:rPr>
        <w:rFonts w:ascii="Symbol" w:hAnsi="Symbol"/>
      </w:rPr>
    </w:lvl>
    <w:lvl w:ilvl="7" w:tplc="2E4801CC">
      <w:start w:val="1"/>
      <w:numFmt w:val="bullet"/>
      <w:lvlText w:val="o"/>
      <w:lvlJc w:val="left"/>
      <w:pPr>
        <w:ind w:left="3200" w:hanging="360"/>
      </w:pPr>
      <w:rPr>
        <w:rFonts w:ascii="Courier New" w:hAnsi="Courier New"/>
      </w:rPr>
    </w:lvl>
    <w:lvl w:ilvl="8" w:tplc="25F216F2">
      <w:numFmt w:val="decimal"/>
      <w:lvlText w:val=""/>
      <w:lvlJc w:val="left"/>
    </w:lvl>
  </w:abstractNum>
  <w:abstractNum w:abstractNumId="16" w15:restartNumberingAfterBreak="0">
    <w:nsid w:val="6D5E0B7D"/>
    <w:multiLevelType w:val="hybridMultilevel"/>
    <w:tmpl w:val="EBC6D05E"/>
    <w:lvl w:ilvl="0" w:tplc="47C0EBF0">
      <w:start w:val="1"/>
      <w:numFmt w:val="decimal"/>
      <w:lvlText w:val="%1."/>
      <w:lvlJc w:val="left"/>
      <w:pPr>
        <w:ind w:left="400" w:hanging="360"/>
      </w:pPr>
    </w:lvl>
    <w:lvl w:ilvl="1" w:tplc="F28A5F10">
      <w:start w:val="1"/>
      <w:numFmt w:val="lowerLetter"/>
      <w:lvlText w:val="%2."/>
      <w:lvlJc w:val="left"/>
      <w:pPr>
        <w:ind w:left="800" w:hanging="360"/>
      </w:pPr>
    </w:lvl>
    <w:lvl w:ilvl="2" w:tplc="477498F0">
      <w:start w:val="1"/>
      <w:numFmt w:val="lowerRoman"/>
      <w:lvlText w:val="%3."/>
      <w:lvlJc w:val="right"/>
      <w:pPr>
        <w:ind w:left="1200" w:hanging="180"/>
      </w:pPr>
    </w:lvl>
    <w:lvl w:ilvl="3" w:tplc="C28294CE">
      <w:start w:val="1"/>
      <w:numFmt w:val="decimal"/>
      <w:lvlText w:val="%4."/>
      <w:lvlJc w:val="left"/>
      <w:pPr>
        <w:ind w:left="1600" w:hanging="360"/>
      </w:pPr>
    </w:lvl>
    <w:lvl w:ilvl="4" w:tplc="456820C6">
      <w:start w:val="1"/>
      <w:numFmt w:val="lowerLetter"/>
      <w:lvlText w:val="%5."/>
      <w:lvlJc w:val="left"/>
      <w:pPr>
        <w:ind w:left="2000" w:hanging="360"/>
      </w:pPr>
    </w:lvl>
    <w:lvl w:ilvl="5" w:tplc="C4824C5C">
      <w:start w:val="1"/>
      <w:numFmt w:val="lowerRoman"/>
      <w:lvlText w:val="%6."/>
      <w:lvlJc w:val="right"/>
      <w:pPr>
        <w:ind w:left="2400" w:hanging="180"/>
      </w:pPr>
    </w:lvl>
    <w:lvl w:ilvl="6" w:tplc="EC24B6EC">
      <w:start w:val="1"/>
      <w:numFmt w:val="decimal"/>
      <w:lvlText w:val="%7."/>
      <w:lvlJc w:val="left"/>
      <w:pPr>
        <w:ind w:left="2800" w:hanging="360"/>
      </w:pPr>
    </w:lvl>
    <w:lvl w:ilvl="7" w:tplc="F7E6E290">
      <w:start w:val="1"/>
      <w:numFmt w:val="lowerLetter"/>
      <w:lvlText w:val="%8."/>
      <w:lvlJc w:val="left"/>
      <w:pPr>
        <w:ind w:left="3200" w:hanging="360"/>
      </w:pPr>
    </w:lvl>
    <w:lvl w:ilvl="8" w:tplc="29089BBE">
      <w:numFmt w:val="decimal"/>
      <w:lvlText w:val=""/>
      <w:lvlJc w:val="left"/>
    </w:lvl>
  </w:abstractNum>
  <w:num w:numId="1" w16cid:durableId="1237547830">
    <w:abstractNumId w:val="10"/>
  </w:num>
  <w:num w:numId="2" w16cid:durableId="203180438">
    <w:abstractNumId w:val="16"/>
  </w:num>
  <w:num w:numId="3" w16cid:durableId="757943361">
    <w:abstractNumId w:val="6"/>
  </w:num>
  <w:num w:numId="4" w16cid:durableId="2086297076">
    <w:abstractNumId w:val="11"/>
  </w:num>
  <w:num w:numId="5" w16cid:durableId="306279545">
    <w:abstractNumId w:val="0"/>
  </w:num>
  <w:num w:numId="6" w16cid:durableId="1306203584">
    <w:abstractNumId w:val="9"/>
  </w:num>
  <w:num w:numId="7" w16cid:durableId="1676029672">
    <w:abstractNumId w:val="3"/>
  </w:num>
  <w:num w:numId="8" w16cid:durableId="1551767168">
    <w:abstractNumId w:val="14"/>
  </w:num>
  <w:num w:numId="9" w16cid:durableId="1576238392">
    <w:abstractNumId w:val="1"/>
  </w:num>
  <w:num w:numId="10" w16cid:durableId="1400706953">
    <w:abstractNumId w:val="15"/>
  </w:num>
  <w:num w:numId="11" w16cid:durableId="655573474">
    <w:abstractNumId w:val="7"/>
  </w:num>
  <w:num w:numId="12" w16cid:durableId="755397347">
    <w:abstractNumId w:val="4"/>
  </w:num>
  <w:num w:numId="13" w16cid:durableId="1658536161">
    <w:abstractNumId w:val="8"/>
  </w:num>
  <w:num w:numId="14" w16cid:durableId="2007516063">
    <w:abstractNumId w:val="13"/>
  </w:num>
  <w:num w:numId="15" w16cid:durableId="1446656591">
    <w:abstractNumId w:val="5"/>
  </w:num>
  <w:num w:numId="16" w16cid:durableId="879441378">
    <w:abstractNumId w:val="12"/>
  </w:num>
  <w:num w:numId="17" w16cid:durableId="121237929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embedTrueTypeFonts/>
  <w:proofState w:spelling="clean" w:grammar="clean"/>
  <w:defaultTabStop w:val="720"/>
  <w:doNotShadeFormData/>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A8483E"/>
    <w:rsid w:val="00017D3F"/>
    <w:rsid w:val="00484E64"/>
    <w:rsid w:val="00524B9A"/>
    <w:rsid w:val="006250E2"/>
    <w:rsid w:val="00993FA3"/>
    <w:rsid w:val="00A8483E"/>
    <w:rsid w:val="00AA3ADE"/>
    <w:rsid w:val="00B94FA4"/>
    <w:rsid w:val="00BB2C44"/>
    <w:rsid w:val="00C90D89"/>
    <w:rsid w:val="00CC7EB0"/>
    <w:rsid w:val="00D04C3A"/>
    <w:rsid w:val="00DC5F0C"/>
    <w:rsid w:val="00DD4AA6"/>
    <w:rsid w:val="00E22F32"/>
    <w:rsid w:val="00ED5169"/>
    <w:rsid w:val="00EE744F"/>
    <w:rsid w:val="00EF50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F11D3A2"/>
  <w15:docId w15:val="{5493313D-FF8E-9A4C-8629-8155C7FD8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Dot pt,List Paragraph1,Bullets,P‡rrafo de lista,lp1,ANNEX,List Square,ADB paragraph numbering,List Paragraph (numbered (a)),Main numbered paragraph,Bullet,Numeracion iniciativas,ASPECTOS GENERALES,Cuadro 2-1,Párrafo de lista2,Footnote,Ha"/>
    <w:basedOn w:val="Normal"/>
    <w:link w:val="ListParagraphChar"/>
    <w:uiPriority w:val="34"/>
    <w:qFormat/>
    <w:rsid w:val="00BB2C44"/>
    <w:pPr>
      <w:ind w:left="720"/>
      <w:contextualSpacing/>
    </w:pPr>
  </w:style>
  <w:style w:type="paragraph" w:styleId="FootnoteText">
    <w:name w:val="footnote text"/>
    <w:aliases w:val="Footnote Text Char Char Char,Footnote Text Char Char Char Char Char Char Char,Footnote Text Char Char Char Char Char,Footnote Text Char Char Char Char Char Char,Footnote Text Char Char Char Char Ch Char,Footnotes,Geneva 9,Font: Geneva 9,f"/>
    <w:basedOn w:val="Normal"/>
    <w:link w:val="FootnoteTextChar"/>
    <w:uiPriority w:val="99"/>
    <w:unhideWhenUsed/>
    <w:qFormat/>
    <w:rsid w:val="00EE744F"/>
    <w:rPr>
      <w:sz w:val="20"/>
      <w:szCs w:val="20"/>
    </w:rPr>
  </w:style>
  <w:style w:type="character" w:customStyle="1" w:styleId="FootnoteTextChar">
    <w:name w:val="Footnote Text Char"/>
    <w:aliases w:val="Footnote Text Char Char Char Char,Footnote Text Char Char Char Char Char Char Char Char,Footnote Text Char Char Char Char Char Char1,Footnote Text Char Char Char Char Char Char Char1,Footnote Text Char Char Char Char Ch Char Char"/>
    <w:basedOn w:val="DefaultParagraphFont"/>
    <w:link w:val="FootnoteText"/>
    <w:uiPriority w:val="99"/>
    <w:rsid w:val="00EE744F"/>
    <w:rPr>
      <w:sz w:val="20"/>
      <w:szCs w:val="20"/>
    </w:rPr>
  </w:style>
  <w:style w:type="character" w:styleId="FootnoteReference">
    <w:name w:val="footnote reference"/>
    <w:aliases w:val="ftref,(NECG) Footnote Reference,Ref,de nota al pie,16 Point,Superscript 6 Point,SUPERS,number,Footnote reference number,Footnote symbol,note TESI,-E Fußnotenzeichen,Superscript 6 Point + 11 pt,referencia nota al pie,Footnote Referenc"/>
    <w:basedOn w:val="DefaultParagraphFont"/>
    <w:uiPriority w:val="99"/>
    <w:unhideWhenUsed/>
    <w:qFormat/>
    <w:rsid w:val="00EE744F"/>
    <w:rPr>
      <w:vertAlign w:val="superscript"/>
    </w:rPr>
  </w:style>
  <w:style w:type="table" w:styleId="TableGrid">
    <w:name w:val="Table Grid"/>
    <w:basedOn w:val="TableNormal"/>
    <w:uiPriority w:val="39"/>
    <w:rsid w:val="00EE744F"/>
    <w:rPr>
      <w:rFonts w:eastAsiaTheme="minorHAns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Dot pt Char,List Paragraph1 Char,Bullets Char,P‡rrafo de lista Char,lp1 Char,ANNEX Char,List Square Char,ADB paragraph numbering Char,List Paragraph (numbered (a)) Char,Main numbered paragraph Char,Bullet Char,ASPECTOS GENERALES Char"/>
    <w:link w:val="ListParagraph"/>
    <w:uiPriority w:val="34"/>
    <w:qFormat/>
    <w:rsid w:val="00EE744F"/>
  </w:style>
  <w:style w:type="character" w:styleId="Hyperlink">
    <w:name w:val="Hyperlink"/>
    <w:basedOn w:val="DefaultParagraphFont"/>
    <w:uiPriority w:val="99"/>
    <w:unhideWhenUsed/>
    <w:rsid w:val="00B94FA4"/>
    <w:rPr>
      <w:color w:val="0563C1" w:themeColor="hyperlink"/>
      <w:u w:val="single"/>
    </w:rPr>
  </w:style>
  <w:style w:type="character" w:styleId="UnresolvedMention">
    <w:name w:val="Unresolved Mention"/>
    <w:basedOn w:val="DefaultParagraphFont"/>
    <w:uiPriority w:val="99"/>
    <w:semiHidden/>
    <w:unhideWhenUsed/>
    <w:rsid w:val="00B94FA4"/>
    <w:rPr>
      <w:color w:val="605E5C"/>
      <w:shd w:val="clear" w:color="auto" w:fill="E1DFDD"/>
    </w:rPr>
  </w:style>
  <w:style w:type="character" w:styleId="FollowedHyperlink">
    <w:name w:val="FollowedHyperlink"/>
    <w:basedOn w:val="DefaultParagraphFont"/>
    <w:uiPriority w:val="99"/>
    <w:semiHidden/>
    <w:unhideWhenUsed/>
    <w:rsid w:val="00B94FA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3" Type="http://schemas.openxmlformats.org/officeDocument/2006/relationships/hyperlink" Target="https://www.cifor.org/publications/pdf_files/Books/REDD-Benefit-Sharing.pdf" TargetMode="External"/><Relationship Id="rId2" Type="http://schemas.openxmlformats.org/officeDocument/2006/relationships/hyperlink" Target="https://www.nature.org/content/dam/tnc/nature/en/documents/tnc_benefit%20sharing_web.pdf" TargetMode="External"/><Relationship Id="rId1" Type="http://schemas.openxmlformats.org/officeDocument/2006/relationships/hyperlink" Target="https://wwfint.awsassets.panda.org/downloads/wwf_assessment_report_redd__programs_v4.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TotalTime>
  <Pages>10</Pages>
  <Words>1350</Words>
  <Characters>7697</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Bruna Oliveira</cp:lastModifiedBy>
  <cp:revision>8</cp:revision>
  <dcterms:created xsi:type="dcterms:W3CDTF">2024-05-30T21:28:00Z</dcterms:created>
  <dcterms:modified xsi:type="dcterms:W3CDTF">2024-06-03T23:21:00Z</dcterms:modified>
</cp:coreProperties>
</file>