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DB403" w14:textId="77777777" w:rsidR="00017F8A" w:rsidRDefault="00000000">
      <w:pPr>
        <w:spacing w:before="120" w:after="120"/>
        <w:jc w:val="center"/>
      </w:pPr>
      <w:r>
        <w:rPr>
          <w:noProof/>
        </w:rPr>
        <w:drawing>
          <wp:anchor distT="0" distB="0" distL="114300" distR="114300" simplePos="0" relativeHeight="251658240" behindDoc="0" locked="0" layoutInCell="1" allowOverlap="1" wp14:anchorId="03E79F1A" wp14:editId="67CF686F">
            <wp:simplePos x="0" y="0"/>
            <wp:positionH relativeFrom="page">
              <wp:posOffset>0</wp:posOffset>
            </wp:positionH>
            <wp:positionV relativeFrom="paragraph">
              <wp:posOffset>0</wp:posOffset>
            </wp:positionV>
            <wp:extent cx="7562850" cy="2268855"/>
            <wp:effectExtent l="0" t="0" r="0" b="0"/>
            <wp:wrapTopAndBottom/>
            <wp:docPr id="1" name="Drawing 0" descr="6981d9d356280a85372320c85540b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981d9d356280a85372320c85540b636.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51FFA96F" w14:textId="77777777" w:rsidR="00017F8A" w:rsidRPr="0048268D" w:rsidRDefault="00000000">
      <w:pPr>
        <w:spacing w:before="120" w:after="120" w:line="336" w:lineRule="auto"/>
        <w:rPr>
          <w:rFonts w:ascii="Bodoni 72 Book" w:hAnsi="Bodoni 72 Book"/>
        </w:rPr>
      </w:pPr>
      <w:r w:rsidRPr="0048268D">
        <w:rPr>
          <w:rFonts w:ascii="Bodoni 72 Book" w:eastAsia="Prata" w:hAnsi="Bodoni 72 Book" w:cs="Prata"/>
          <w:color w:val="68807A"/>
          <w:sz w:val="64"/>
          <w:szCs w:val="64"/>
        </w:rPr>
        <w:t xml:space="preserve">Key Considerations  </w:t>
      </w:r>
    </w:p>
    <w:p w14:paraId="5813F910" w14:textId="77777777" w:rsidR="00017F8A" w:rsidRDefault="00017F8A">
      <w:pPr>
        <w:pBdr>
          <w:bottom w:val="single" w:sz="6" w:space="0" w:color="68807A"/>
        </w:pBdr>
        <w:spacing w:before="120" w:after="120" w:line="0" w:lineRule="auto"/>
      </w:pPr>
    </w:p>
    <w:p w14:paraId="5C65745F" w14:textId="3DA45678" w:rsidR="0048268D" w:rsidRPr="0048268D" w:rsidRDefault="0048268D" w:rsidP="0048268D">
      <w:p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color w:val="000000"/>
          <w:sz w:val="20"/>
          <w:szCs w:val="20"/>
        </w:rPr>
        <w:t>UNFCCC REDD+ safeguard ‘b’ refers to effective governance structures, which generally include access to judicial or administrative procedures that can provide effective remedy for infringements of rights, and to resolve disputes, especially for indigenous peoples and local communities. For the purposes of demonstrating conformance with this element of the safeguard, Jurisdictional REDD+ (J-REDD+) programs are expected to have in place grievance redress mechanisms (GRMs) that can address any infringements or disputes that may arise in the context of the implementation of REDD+ actions. These GRMs are expected to be aligned with international standards and best practices.</w:t>
      </w:r>
    </w:p>
    <w:p w14:paraId="70E560AF" w14:textId="5CCE4A23" w:rsidR="0048268D" w:rsidRPr="0048268D" w:rsidRDefault="0048268D" w:rsidP="0048268D">
      <w:p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color w:val="000000"/>
          <w:sz w:val="20"/>
          <w:szCs w:val="20"/>
        </w:rPr>
        <w:t>International standards and best practices recognize that effective GRMs embed the following principles</w:t>
      </w:r>
      <w:r w:rsidR="001F40F7">
        <w:rPr>
          <w:rStyle w:val="FootnoteReference"/>
          <w:rFonts w:ascii="Avenir Next" w:eastAsia="Montserrat" w:hAnsi="Avenir Next" w:cs="Montserrat"/>
          <w:color w:val="000000"/>
          <w:sz w:val="20"/>
          <w:szCs w:val="20"/>
        </w:rPr>
        <w:footnoteReference w:id="1"/>
      </w:r>
      <w:r w:rsidRPr="0048268D">
        <w:rPr>
          <w:rFonts w:ascii="Avenir Next" w:eastAsia="Montserrat" w:hAnsi="Avenir Next" w:cs="Montserrat"/>
          <w:color w:val="000000"/>
          <w:sz w:val="20"/>
          <w:szCs w:val="20"/>
        </w:rPr>
        <w:t>:</w:t>
      </w:r>
    </w:p>
    <w:p w14:paraId="3C2861AF" w14:textId="77777777"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Legitimate</w:t>
      </w:r>
      <w:r w:rsidRPr="0048268D">
        <w:rPr>
          <w:rFonts w:ascii="Avenir Next" w:eastAsia="Montserrat" w:hAnsi="Avenir Next" w:cs="Montserrat"/>
          <w:color w:val="000000"/>
          <w:sz w:val="20"/>
          <w:szCs w:val="20"/>
        </w:rPr>
        <w:t>: enabling trust from the stakeholder groups for whose use they are intended and being accountable for the fair conduct of grievance processes. Accountability for ensuring that the parties to a grievance process cannot interfere with its fair conduct is typically one important factor in building stakeholder trust.</w:t>
      </w:r>
    </w:p>
    <w:p w14:paraId="33572622" w14:textId="77777777"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Accessible</w:t>
      </w:r>
      <w:r w:rsidRPr="0048268D">
        <w:rPr>
          <w:rFonts w:ascii="Avenir Next" w:eastAsia="Montserrat" w:hAnsi="Avenir Next" w:cs="Montserrat"/>
          <w:color w:val="000000"/>
          <w:sz w:val="20"/>
          <w:szCs w:val="20"/>
        </w:rPr>
        <w:t xml:space="preserve">: being known to all stakeholder groups for whose use they are intended and providing adequate assistance for those who may face barriers to access. Barriers to access </w:t>
      </w:r>
      <w:r w:rsidRPr="0048268D">
        <w:rPr>
          <w:rFonts w:ascii="Avenir Next" w:eastAsia="Montserrat" w:hAnsi="Avenir Next" w:cs="Montserrat"/>
          <w:color w:val="000000"/>
          <w:sz w:val="20"/>
          <w:szCs w:val="20"/>
        </w:rPr>
        <w:lastRenderedPageBreak/>
        <w:t>may include a lack of awareness of the mechanism, language, literacy, costs, physical location, and fears of reprisal.</w:t>
      </w:r>
    </w:p>
    <w:p w14:paraId="59F572C7" w14:textId="77777777"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Predictable</w:t>
      </w:r>
      <w:r w:rsidRPr="0048268D">
        <w:rPr>
          <w:rFonts w:ascii="Avenir Next" w:eastAsia="Montserrat" w:hAnsi="Avenir Next" w:cs="Montserrat"/>
          <w:color w:val="000000"/>
          <w:sz w:val="20"/>
          <w:szCs w:val="20"/>
        </w:rPr>
        <w:t>: providing a clear and known procedure with an indicative timeframe for each stage, and clarity on the types of process and outcome available and means of monitoring implementation. For a mechanism to be trusted and used, it should provide public information about the procedure it offers.</w:t>
      </w:r>
    </w:p>
    <w:p w14:paraId="1AEF2507" w14:textId="0ACD4B0E"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Equitable</w:t>
      </w:r>
      <w:r w:rsidRPr="0048268D">
        <w:rPr>
          <w:rFonts w:ascii="Avenir Next" w:eastAsia="Montserrat" w:hAnsi="Avenir Next" w:cs="Montserrat"/>
          <w:color w:val="000000"/>
          <w:sz w:val="20"/>
          <w:szCs w:val="20"/>
        </w:rPr>
        <w:t>: seeking to ensure that aggrieved parties have reasonable access to sources of information, advice, and expertise necessary to engage in a grievance process on fair, informed</w:t>
      </w:r>
      <w:r w:rsidR="00491F01">
        <w:rPr>
          <w:rFonts w:ascii="Avenir Next" w:eastAsia="Montserrat" w:hAnsi="Avenir Next" w:cs="Montserrat"/>
          <w:color w:val="000000"/>
          <w:sz w:val="20"/>
          <w:szCs w:val="20"/>
        </w:rPr>
        <w:t>,</w:t>
      </w:r>
      <w:r w:rsidRPr="0048268D">
        <w:rPr>
          <w:rFonts w:ascii="Avenir Next" w:eastAsia="Montserrat" w:hAnsi="Avenir Next" w:cs="Montserrat"/>
          <w:color w:val="000000"/>
          <w:sz w:val="20"/>
          <w:szCs w:val="20"/>
        </w:rPr>
        <w:t xml:space="preserve"> and respectful terms. Where imbalances are not redressed, perceived inequity can undermine both the perception of a fair process and the mechanism’s ability to arrive at durable solutions.</w:t>
      </w:r>
    </w:p>
    <w:p w14:paraId="6645D8F5" w14:textId="77777777"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Transparent</w:t>
      </w:r>
      <w:r w:rsidRPr="0048268D">
        <w:rPr>
          <w:rFonts w:ascii="Avenir Next" w:eastAsia="Montserrat" w:hAnsi="Avenir Next" w:cs="Montserrat"/>
          <w:color w:val="000000"/>
          <w:sz w:val="20"/>
          <w:szCs w:val="20"/>
        </w:rPr>
        <w:t>: keeping parties to a grievance informed about its progress and providing sufficient information about the mechanism’s performance to build confidence in its effectiveness and meet any public interest at stake. Providing transparency about the mechanism’s performance to wider stakeholders, through statistics, case studies or more detailed information about the handling of certain cases, can be important to demonstrate its legitimacy and fairness, and retain broad trust. At the same time, confidentiality of the dialogue between parties and of individuals’ identities should be provided where necessary.</w:t>
      </w:r>
    </w:p>
    <w:p w14:paraId="3D0D4993" w14:textId="39CE7C37" w:rsidR="0048268D" w:rsidRP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Rights compatible:</w:t>
      </w:r>
      <w:r w:rsidRPr="0048268D">
        <w:rPr>
          <w:rFonts w:ascii="Avenir Next" w:eastAsia="Montserrat" w:hAnsi="Avenir Next" w:cs="Montserrat"/>
          <w:color w:val="000000"/>
          <w:sz w:val="20"/>
          <w:szCs w:val="20"/>
        </w:rPr>
        <w:t xml:space="preserve"> these processes are generally more successful when all parties agree that outcomes are consistent with applicable national and internationally recognized rights. Grievances are frequently not framed in terms of </w:t>
      </w:r>
      <w:proofErr w:type="gramStart"/>
      <w:r w:rsidRPr="0048268D">
        <w:rPr>
          <w:rFonts w:ascii="Avenir Next" w:eastAsia="Montserrat" w:hAnsi="Avenir Next" w:cs="Montserrat"/>
          <w:color w:val="000000"/>
          <w:sz w:val="20"/>
          <w:szCs w:val="20"/>
        </w:rPr>
        <w:t>rights</w:t>
      </w:r>
      <w:proofErr w:type="gramEnd"/>
      <w:r w:rsidRPr="0048268D">
        <w:rPr>
          <w:rFonts w:ascii="Avenir Next" w:eastAsia="Montserrat" w:hAnsi="Avenir Next" w:cs="Montserrat"/>
          <w:color w:val="000000"/>
          <w:sz w:val="20"/>
          <w:szCs w:val="20"/>
        </w:rPr>
        <w:t xml:space="preserve"> and many do not initially raise human rights or other rights concerns. Regardless, </w:t>
      </w:r>
      <w:r w:rsidR="00491F01">
        <w:rPr>
          <w:rFonts w:ascii="Avenir Next" w:eastAsia="Montserrat" w:hAnsi="Avenir Next" w:cs="Montserrat"/>
          <w:color w:val="000000"/>
          <w:sz w:val="20"/>
          <w:szCs w:val="20"/>
        </w:rPr>
        <w:t xml:space="preserve">of </w:t>
      </w:r>
      <w:r w:rsidRPr="0048268D">
        <w:rPr>
          <w:rFonts w:ascii="Avenir Next" w:eastAsia="Montserrat" w:hAnsi="Avenir Next" w:cs="Montserrat"/>
          <w:color w:val="000000"/>
          <w:sz w:val="20"/>
          <w:szCs w:val="20"/>
        </w:rPr>
        <w:t>where outcomes have implications for rights, care should be taken that they are consistent with applicable nationally and internationally recognized standards and that they do not restrict access to other redress mechanisms.</w:t>
      </w:r>
    </w:p>
    <w:p w14:paraId="50F61BEC" w14:textId="1963628F" w:rsidR="0048268D" w:rsidRDefault="0048268D" w:rsidP="0048268D">
      <w:pPr>
        <w:pStyle w:val="ListParagraph"/>
        <w:numPr>
          <w:ilvl w:val="0"/>
          <w:numId w:val="11"/>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b/>
          <w:bCs/>
          <w:color w:val="000000"/>
          <w:sz w:val="20"/>
          <w:szCs w:val="20"/>
        </w:rPr>
        <w:t>Enabling continuous learning:</w:t>
      </w:r>
      <w:r w:rsidRPr="0048268D">
        <w:rPr>
          <w:rFonts w:ascii="Avenir Next" w:eastAsia="Montserrat" w:hAnsi="Avenir Next" w:cs="Montserrat"/>
          <w:color w:val="000000"/>
          <w:sz w:val="20"/>
          <w:szCs w:val="20"/>
        </w:rPr>
        <w:t xml:space="preserve"> drawing on relevant measures to identify lessons for improving the mechanism and preventing future grievances and harms. Regular analysis of the frequency, patterns, and causes of grievances; strategies and processes used for grievance resolution; and the effectiveness of those strategies and processes, can enable the institution administering the grievance redress mechanism to improve policies, procedures, and practices to improve performance and prevent future harm.</w:t>
      </w:r>
    </w:p>
    <w:p w14:paraId="74C24B25" w14:textId="77777777" w:rsidR="0048268D" w:rsidRPr="0048268D" w:rsidRDefault="0048268D" w:rsidP="0048268D">
      <w:pPr>
        <w:spacing w:before="120" w:after="120" w:line="336" w:lineRule="auto"/>
        <w:ind w:left="360"/>
        <w:rPr>
          <w:rFonts w:ascii="Avenir Next" w:eastAsia="Montserrat" w:hAnsi="Avenir Next" w:cs="Montserrat"/>
          <w:color w:val="000000"/>
          <w:sz w:val="20"/>
          <w:szCs w:val="20"/>
        </w:rPr>
      </w:pPr>
    </w:p>
    <w:p w14:paraId="34EA449D" w14:textId="77777777" w:rsidR="0048268D" w:rsidRPr="0048268D" w:rsidRDefault="0048268D" w:rsidP="0048268D">
      <w:p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color w:val="000000"/>
          <w:sz w:val="20"/>
          <w:szCs w:val="20"/>
        </w:rPr>
        <w:t>This tool is therefore intended to help J-REDD+ programs better understand:</w:t>
      </w:r>
    </w:p>
    <w:p w14:paraId="52F4D979" w14:textId="77777777" w:rsidR="0048268D" w:rsidRPr="0048268D" w:rsidRDefault="0048268D" w:rsidP="0048268D">
      <w:pPr>
        <w:pStyle w:val="ListParagraph"/>
        <w:numPr>
          <w:ilvl w:val="0"/>
          <w:numId w:val="12"/>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color w:val="000000"/>
          <w:sz w:val="20"/>
          <w:szCs w:val="20"/>
        </w:rPr>
        <w:lastRenderedPageBreak/>
        <w:t xml:space="preserve">The level of alignment of their grievance redress mechanisms with international standards and best </w:t>
      </w:r>
      <w:proofErr w:type="gramStart"/>
      <w:r w:rsidRPr="0048268D">
        <w:rPr>
          <w:rFonts w:ascii="Avenir Next" w:eastAsia="Montserrat" w:hAnsi="Avenir Next" w:cs="Montserrat"/>
          <w:color w:val="000000"/>
          <w:sz w:val="20"/>
          <w:szCs w:val="20"/>
        </w:rPr>
        <w:t>practices;</w:t>
      </w:r>
      <w:proofErr w:type="gramEnd"/>
      <w:r w:rsidRPr="0048268D">
        <w:rPr>
          <w:rFonts w:ascii="Avenir Next" w:eastAsia="Montserrat" w:hAnsi="Avenir Next" w:cs="Montserrat"/>
          <w:color w:val="000000"/>
          <w:sz w:val="20"/>
          <w:szCs w:val="20"/>
        </w:rPr>
        <w:t xml:space="preserve"> </w:t>
      </w:r>
    </w:p>
    <w:p w14:paraId="4B6A3E6A" w14:textId="77D8CB1C" w:rsidR="0048268D" w:rsidRPr="0048268D" w:rsidRDefault="0048268D" w:rsidP="0048268D">
      <w:pPr>
        <w:pStyle w:val="ListParagraph"/>
        <w:numPr>
          <w:ilvl w:val="0"/>
          <w:numId w:val="12"/>
        </w:numPr>
        <w:spacing w:before="120" w:after="120" w:line="336" w:lineRule="auto"/>
        <w:rPr>
          <w:rFonts w:ascii="Avenir Next" w:eastAsia="Montserrat" w:hAnsi="Avenir Next" w:cs="Montserrat"/>
          <w:color w:val="000000"/>
          <w:sz w:val="20"/>
          <w:szCs w:val="20"/>
        </w:rPr>
      </w:pPr>
      <w:r w:rsidRPr="0048268D">
        <w:rPr>
          <w:rFonts w:ascii="Avenir Next" w:eastAsia="Montserrat" w:hAnsi="Avenir Next" w:cs="Montserrat"/>
          <w:color w:val="000000"/>
          <w:sz w:val="20"/>
          <w:szCs w:val="20"/>
        </w:rPr>
        <w:t>Identify any gaps, weaknesses and/or possible inconsistencies in these arrangements, and identify recommendations to address these.</w:t>
      </w:r>
    </w:p>
    <w:p w14:paraId="52056D7D" w14:textId="77777777" w:rsidR="00017F8A" w:rsidRPr="0048268D" w:rsidRDefault="00000000">
      <w:pPr>
        <w:spacing w:before="120" w:after="120" w:line="336" w:lineRule="auto"/>
        <w:rPr>
          <w:rFonts w:ascii="Bodoni 72 Book" w:hAnsi="Bodoni 72 Book"/>
        </w:rPr>
      </w:pPr>
      <w:r w:rsidRPr="0048268D">
        <w:rPr>
          <w:rFonts w:ascii="Bodoni 72 Book" w:eastAsia="Prata" w:hAnsi="Bodoni 72 Book" w:cs="Prata"/>
          <w:color w:val="68807A"/>
          <w:sz w:val="64"/>
          <w:szCs w:val="64"/>
        </w:rPr>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017F8A" w14:paraId="57FAE2DE" w14:textId="77777777">
        <w:tc>
          <w:tcPr>
            <w:tcW w:w="9030" w:type="dxa"/>
            <w:shd w:val="clear" w:color="auto" w:fill="68807A"/>
            <w:tcMar>
              <w:top w:w="180" w:type="dxa"/>
              <w:left w:w="180" w:type="dxa"/>
              <w:bottom w:w="180" w:type="dxa"/>
              <w:right w:w="180" w:type="dxa"/>
            </w:tcMar>
          </w:tcPr>
          <w:p w14:paraId="65A479CA" w14:textId="77777777" w:rsidR="0048268D" w:rsidRDefault="00000000" w:rsidP="0048268D">
            <w:pPr>
              <w:spacing w:before="120" w:after="120" w:line="336" w:lineRule="auto"/>
              <w:rPr>
                <w:rFonts w:ascii="Avenir Next" w:eastAsia="IBM Plex Sans" w:hAnsi="Avenir Next" w:cs="IBM Plex Sans"/>
                <w:color w:val="FFFFFF"/>
                <w:sz w:val="20"/>
                <w:szCs w:val="20"/>
              </w:rPr>
            </w:pPr>
            <w:r w:rsidRPr="0048268D">
              <w:rPr>
                <w:rFonts w:ascii="Avenir Next" w:eastAsia="IBM Plex Sans" w:hAnsi="Avenir Next" w:cs="IBM Plex Sans"/>
                <w:color w:val="FFFFFF"/>
                <w:sz w:val="20"/>
                <w:szCs w:val="20"/>
              </w:rPr>
              <w:t xml:space="preserve">This tool is divided into two sections: </w:t>
            </w:r>
          </w:p>
          <w:p w14:paraId="4DFDBC49" w14:textId="77777777" w:rsidR="0048268D" w:rsidRDefault="00000000" w:rsidP="0048268D">
            <w:pPr>
              <w:pStyle w:val="ListParagraph"/>
              <w:numPr>
                <w:ilvl w:val="0"/>
                <w:numId w:val="14"/>
              </w:numPr>
              <w:spacing w:before="120" w:after="120" w:line="336" w:lineRule="auto"/>
              <w:rPr>
                <w:rFonts w:ascii="Avenir Next" w:eastAsia="IBM Plex Sans" w:hAnsi="Avenir Next" w:cs="IBM Plex Sans"/>
                <w:color w:val="FFFFFF"/>
                <w:sz w:val="20"/>
                <w:szCs w:val="20"/>
              </w:rPr>
            </w:pPr>
            <w:r w:rsidRPr="0048268D">
              <w:rPr>
                <w:rFonts w:ascii="Avenir Next" w:eastAsia="IBM Plex Sans Bold" w:hAnsi="Avenir Next" w:cs="IBM Plex Sans Bold"/>
                <w:b/>
                <w:bCs/>
                <w:color w:val="FFFFFF"/>
                <w:sz w:val="20"/>
                <w:szCs w:val="20"/>
              </w:rPr>
              <w:t>Section A:</w:t>
            </w:r>
            <w:r w:rsidRPr="0048268D">
              <w:rPr>
                <w:rFonts w:ascii="Avenir Next" w:eastAsia="IBM Plex Sans" w:hAnsi="Avenir Next" w:cs="IBM Plex Sans"/>
                <w:color w:val="FFFFFF"/>
                <w:sz w:val="20"/>
                <w:szCs w:val="20"/>
              </w:rPr>
              <w:t xml:space="preserve"> presents a questionnaire, which guides users through the technical qualitative assessment of the </w:t>
            </w:r>
            <w:r w:rsidR="0048268D" w:rsidRPr="0048268D">
              <w:rPr>
                <w:rFonts w:ascii="Avenir Next" w:eastAsia="IBM Plex Sans" w:hAnsi="Avenir Next" w:cs="IBM Plex Sans"/>
                <w:color w:val="FFFFFF"/>
                <w:sz w:val="20"/>
                <w:szCs w:val="20"/>
              </w:rPr>
              <w:t>GRMs.</w:t>
            </w:r>
            <w:r w:rsidRPr="0048268D">
              <w:rPr>
                <w:rFonts w:ascii="Avenir Next" w:eastAsia="IBM Plex Sans" w:hAnsi="Avenir Next" w:cs="IBM Plex Sans"/>
                <w:color w:val="FFFFFF"/>
                <w:sz w:val="20"/>
                <w:szCs w:val="20"/>
              </w:rPr>
              <w:t xml:space="preserve">  </w:t>
            </w:r>
          </w:p>
          <w:p w14:paraId="438ECA7C" w14:textId="4918B031" w:rsidR="00017F8A" w:rsidRPr="0048268D" w:rsidRDefault="00000000" w:rsidP="0048268D">
            <w:pPr>
              <w:pStyle w:val="ListParagraph"/>
              <w:numPr>
                <w:ilvl w:val="0"/>
                <w:numId w:val="14"/>
              </w:numPr>
              <w:spacing w:before="120" w:after="120" w:line="336" w:lineRule="auto"/>
              <w:rPr>
                <w:rFonts w:ascii="Avenir Next" w:eastAsia="IBM Plex Sans" w:hAnsi="Avenir Next" w:cs="IBM Plex Sans"/>
                <w:color w:val="FFFFFF"/>
                <w:sz w:val="20"/>
                <w:szCs w:val="20"/>
              </w:rPr>
            </w:pPr>
            <w:r w:rsidRPr="0048268D">
              <w:rPr>
                <w:rFonts w:ascii="Avenir Next" w:eastAsia="IBM Plex Sans Bold" w:hAnsi="Avenir Next" w:cs="IBM Plex Sans Bold"/>
                <w:b/>
                <w:bCs/>
                <w:color w:val="FFFFFF"/>
                <w:sz w:val="20"/>
                <w:szCs w:val="20"/>
              </w:rPr>
              <w:t>Section B</w:t>
            </w:r>
            <w:r w:rsidRPr="0048268D">
              <w:rPr>
                <w:rFonts w:ascii="Avenir Next" w:eastAsia="IBM Plex Sans" w:hAnsi="Avenir Next" w:cs="IBM Plex Sans"/>
                <w:color w:val="FFFFFF"/>
                <w:sz w:val="20"/>
                <w:szCs w:val="20"/>
              </w:rPr>
              <w:t>: presents a report template, that is to be completed based on the results from Section ‘A</w:t>
            </w:r>
            <w:proofErr w:type="gramStart"/>
            <w:r w:rsidRPr="0048268D">
              <w:rPr>
                <w:rFonts w:ascii="Avenir Next" w:eastAsia="IBM Plex Sans" w:hAnsi="Avenir Next" w:cs="IBM Plex Sans"/>
                <w:color w:val="FFFFFF"/>
                <w:sz w:val="20"/>
                <w:szCs w:val="20"/>
              </w:rPr>
              <w:t>’, and</w:t>
            </w:r>
            <w:proofErr w:type="gramEnd"/>
            <w:r w:rsidRPr="0048268D">
              <w:rPr>
                <w:rFonts w:ascii="Avenir Next" w:eastAsia="IBM Plex Sans" w:hAnsi="Avenir Next" w:cs="IBM Plex Sans"/>
                <w:color w:val="FFFFFF"/>
                <w:sz w:val="20"/>
                <w:szCs w:val="20"/>
              </w:rPr>
              <w:t xml:space="preserve"> will inform the development of</w:t>
            </w:r>
            <w:r w:rsidR="0048268D">
              <w:rPr>
                <w:rFonts w:ascii="Avenir Next" w:eastAsia="IBM Plex Sans" w:hAnsi="Avenir Next" w:cs="IBM Plex Sans"/>
                <w:color w:val="FFFFFF"/>
                <w:sz w:val="20"/>
                <w:szCs w:val="20"/>
              </w:rPr>
              <w:t xml:space="preserve"> </w:t>
            </w:r>
            <w:r w:rsidRPr="0048268D">
              <w:rPr>
                <w:rFonts w:ascii="Avenir Next" w:eastAsia="IBM Plex Sans" w:hAnsi="Avenir Next" w:cs="IBM Plex Sans"/>
                <w:color w:val="FFFFFF"/>
                <w:sz w:val="20"/>
                <w:szCs w:val="20"/>
              </w:rPr>
              <w:t xml:space="preserve">the J-REDD+ roadmap (Tool 8). </w:t>
            </w:r>
          </w:p>
        </w:tc>
      </w:tr>
    </w:tbl>
    <w:p w14:paraId="1B10BAF8" w14:textId="77777777" w:rsidR="0048268D" w:rsidRDefault="0048268D">
      <w:pPr>
        <w:spacing w:before="120" w:after="120" w:line="336" w:lineRule="auto"/>
        <w:rPr>
          <w:rFonts w:ascii="Montserrat" w:eastAsia="Montserrat" w:hAnsi="Montserrat" w:cs="Montserrat"/>
          <w:color w:val="000000"/>
          <w:sz w:val="64"/>
          <w:szCs w:val="64"/>
        </w:rPr>
      </w:pPr>
    </w:p>
    <w:p w14:paraId="42375493" w14:textId="77777777" w:rsidR="0048268D" w:rsidRDefault="0048268D">
      <w:pPr>
        <w:spacing w:before="120" w:after="120" w:line="336" w:lineRule="auto"/>
        <w:rPr>
          <w:rFonts w:ascii="Montserrat" w:eastAsia="Montserrat" w:hAnsi="Montserrat" w:cs="Montserrat"/>
          <w:color w:val="000000"/>
          <w:sz w:val="64"/>
          <w:szCs w:val="64"/>
        </w:rPr>
      </w:pPr>
    </w:p>
    <w:p w14:paraId="7191D657" w14:textId="77777777" w:rsidR="0048268D" w:rsidRDefault="0048268D">
      <w:pPr>
        <w:spacing w:before="120" w:after="120" w:line="336" w:lineRule="auto"/>
        <w:rPr>
          <w:rFonts w:ascii="Montserrat" w:eastAsia="Montserrat" w:hAnsi="Montserrat" w:cs="Montserrat"/>
          <w:color w:val="000000"/>
          <w:sz w:val="64"/>
          <w:szCs w:val="64"/>
        </w:rPr>
      </w:pPr>
    </w:p>
    <w:p w14:paraId="4DC46C6B" w14:textId="77777777" w:rsidR="0048268D" w:rsidRDefault="0048268D">
      <w:pPr>
        <w:spacing w:before="120" w:after="120" w:line="336" w:lineRule="auto"/>
        <w:rPr>
          <w:rFonts w:ascii="Montserrat" w:eastAsia="Montserrat" w:hAnsi="Montserrat" w:cs="Montserrat"/>
          <w:color w:val="000000"/>
          <w:sz w:val="64"/>
          <w:szCs w:val="64"/>
        </w:rPr>
      </w:pPr>
    </w:p>
    <w:p w14:paraId="670CDEEF" w14:textId="77777777" w:rsidR="0048268D" w:rsidRDefault="0048268D">
      <w:pPr>
        <w:spacing w:before="120" w:after="120" w:line="336" w:lineRule="auto"/>
        <w:rPr>
          <w:rFonts w:ascii="Montserrat" w:eastAsia="Montserrat" w:hAnsi="Montserrat" w:cs="Montserrat"/>
          <w:color w:val="000000"/>
          <w:sz w:val="64"/>
          <w:szCs w:val="64"/>
        </w:rPr>
      </w:pPr>
    </w:p>
    <w:p w14:paraId="437FF3DB" w14:textId="77777777" w:rsidR="0048268D" w:rsidRDefault="0048268D">
      <w:pPr>
        <w:spacing w:before="120" w:after="120" w:line="336" w:lineRule="auto"/>
        <w:rPr>
          <w:rFonts w:ascii="Montserrat" w:eastAsia="Montserrat" w:hAnsi="Montserrat" w:cs="Montserrat"/>
          <w:color w:val="000000"/>
          <w:sz w:val="64"/>
          <w:szCs w:val="64"/>
        </w:rPr>
      </w:pPr>
    </w:p>
    <w:p w14:paraId="059E7CF9" w14:textId="77777777" w:rsidR="0048268D" w:rsidRDefault="0048268D">
      <w:pPr>
        <w:spacing w:before="120" w:after="120" w:line="336" w:lineRule="auto"/>
        <w:rPr>
          <w:rFonts w:ascii="Montserrat" w:eastAsia="Montserrat" w:hAnsi="Montserrat" w:cs="Montserrat"/>
          <w:color w:val="000000"/>
          <w:sz w:val="64"/>
          <w:szCs w:val="64"/>
        </w:rPr>
      </w:pPr>
    </w:p>
    <w:p w14:paraId="552873C2" w14:textId="77777777" w:rsidR="0048268D" w:rsidRDefault="0048268D">
      <w:pPr>
        <w:spacing w:before="120" w:after="120" w:line="336" w:lineRule="auto"/>
        <w:rPr>
          <w:rFonts w:ascii="Montserrat" w:eastAsia="Montserrat" w:hAnsi="Montserrat" w:cs="Montserrat"/>
          <w:color w:val="000000"/>
          <w:sz w:val="64"/>
          <w:szCs w:val="64"/>
        </w:rPr>
      </w:pPr>
    </w:p>
    <w:p w14:paraId="20E29D7A" w14:textId="77777777" w:rsidR="0048268D" w:rsidRPr="0048268D" w:rsidRDefault="0048268D" w:rsidP="0048268D">
      <w:pPr>
        <w:spacing w:before="120" w:after="120" w:line="336" w:lineRule="auto"/>
        <w:rPr>
          <w:rFonts w:ascii="Bodoni 72 Book" w:hAnsi="Bodoni 72 Book"/>
          <w:color w:val="68807A"/>
        </w:rPr>
      </w:pPr>
      <w:r w:rsidRPr="0048268D">
        <w:rPr>
          <w:rFonts w:ascii="Bodoni 72 Book" w:eastAsia="Montserrat" w:hAnsi="Bodoni 72 Book" w:cs="Montserrat"/>
          <w:color w:val="68807A"/>
          <w:sz w:val="64"/>
          <w:szCs w:val="64"/>
        </w:rPr>
        <w:t xml:space="preserve">Section A - Questionnaire </w:t>
      </w:r>
    </w:p>
    <w:p w14:paraId="30C01129" w14:textId="61838E45" w:rsidR="0048268D" w:rsidRPr="00031D7C" w:rsidRDefault="0048268D" w:rsidP="0048268D">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The questionnaire is structured in </w:t>
      </w:r>
      <w:r w:rsidRPr="0048268D">
        <w:rPr>
          <w:rFonts w:ascii="Avenir Next" w:eastAsia="IBM Plex Sans" w:hAnsi="Avenir Next" w:cs="IBM Plex Sans"/>
          <w:color w:val="000000"/>
          <w:sz w:val="20"/>
          <w:szCs w:val="20"/>
        </w:rPr>
        <w:t>alignment with the principles set out above, which constitute the international standards and good practices for GRMs</w:t>
      </w:r>
      <w:r w:rsidR="001F40F7">
        <w:rPr>
          <w:rStyle w:val="FootnoteReference"/>
          <w:rFonts w:ascii="Avenir Next" w:eastAsia="IBM Plex Sans" w:hAnsi="Avenir Next" w:cs="IBM Plex Sans"/>
          <w:color w:val="000000"/>
          <w:sz w:val="20"/>
          <w:szCs w:val="20"/>
        </w:rPr>
        <w:footnoteReference w:id="2"/>
      </w:r>
      <w:r w:rsidRPr="0048268D">
        <w:rPr>
          <w:rFonts w:ascii="Avenir Next" w:eastAsia="IBM Plex Sans" w:hAnsi="Avenir Next" w:cs="IBM Plex Sans"/>
          <w:color w:val="000000"/>
          <w:sz w:val="20"/>
          <w:szCs w:val="20"/>
        </w:rPr>
        <w:t xml:space="preserve">.  </w:t>
      </w:r>
    </w:p>
    <w:p w14:paraId="535F2271" w14:textId="77777777" w:rsidR="0048268D" w:rsidRPr="00031D7C" w:rsidRDefault="0048268D" w:rsidP="0048268D">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03B92D02" w14:textId="51B360A9" w:rsidR="0048268D" w:rsidRPr="00031D7C" w:rsidRDefault="0048268D" w:rsidP="0048268D">
      <w:pPr>
        <w:numPr>
          <w:ilvl w:val="0"/>
          <w:numId w:val="15"/>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w:t>
      </w:r>
    </w:p>
    <w:p w14:paraId="7200650A" w14:textId="77777777" w:rsidR="0048268D" w:rsidRPr="00031D7C" w:rsidRDefault="0048268D" w:rsidP="0048268D">
      <w:pPr>
        <w:numPr>
          <w:ilvl w:val="0"/>
          <w:numId w:val="15"/>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14311D22" w14:textId="6956255F" w:rsidR="0048268D" w:rsidRPr="00031D7C" w:rsidRDefault="0048268D" w:rsidP="0048268D">
      <w:pPr>
        <w:numPr>
          <w:ilvl w:val="1"/>
          <w:numId w:val="15"/>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552896BA" wp14:editId="112B4486">
            <wp:simplePos x="0" y="0"/>
            <wp:positionH relativeFrom="column">
              <wp:posOffset>4881208</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 xml:space="preserve">GRM incorporates this aspect in conformance with relevant international standards and/or good practices. </w:t>
      </w:r>
      <w:r w:rsidRPr="00031D7C">
        <w:rPr>
          <w:rFonts w:ascii="Avenir Next" w:eastAsia="IBM Plex Sans" w:hAnsi="Avenir Next" w:cs="IBM Plex Sans"/>
          <w:color w:val="000000"/>
          <w:sz w:val="20"/>
          <w:szCs w:val="20"/>
        </w:rPr>
        <w:t xml:space="preserve"> </w:t>
      </w:r>
    </w:p>
    <w:p w14:paraId="3B37556D" w14:textId="77BE6A76" w:rsidR="0048268D" w:rsidRPr="00031D7C" w:rsidRDefault="0048268D" w:rsidP="0048268D">
      <w:pPr>
        <w:numPr>
          <w:ilvl w:val="1"/>
          <w:numId w:val="15"/>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 xml:space="preserve">GRM partially incorporates this aspect in conformance with international standards </w:t>
      </w:r>
      <w:r w:rsidRPr="00031D7C">
        <w:rPr>
          <w:rFonts w:ascii="Avenir Next" w:eastAsia="IBM Plex Sans" w:hAnsi="Avenir Next" w:cs="IBM Plex Sans"/>
          <w:color w:val="000000"/>
          <w:sz w:val="20"/>
          <w:szCs w:val="20"/>
        </w:rPr>
        <w:t xml:space="preserve">and/or best practices. There are some gaps that need to be addressed.  </w:t>
      </w:r>
    </w:p>
    <w:p w14:paraId="54D519A7" w14:textId="55B890CA" w:rsidR="0048268D" w:rsidRPr="00031D7C" w:rsidRDefault="0048268D" w:rsidP="0048268D">
      <w:pPr>
        <w:numPr>
          <w:ilvl w:val="1"/>
          <w:numId w:val="15"/>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43F0922F" wp14:editId="00C500ED">
            <wp:simplePos x="0" y="0"/>
            <wp:positionH relativeFrom="column">
              <wp:posOffset>4875929</wp:posOffset>
            </wp:positionH>
            <wp:positionV relativeFrom="paragraph">
              <wp:posOffset>41320</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GRM</w:t>
      </w:r>
      <w:r w:rsidRPr="00031D7C">
        <w:rPr>
          <w:rFonts w:ascii="Avenir Next" w:eastAsia="IBM Plex Sans" w:hAnsi="Avenir Next" w:cs="IBM Plex Sans"/>
          <w:color w:val="000000"/>
          <w:sz w:val="20"/>
          <w:szCs w:val="20"/>
        </w:rPr>
        <w:t xml:space="preserve"> does not incorporate this aspect in conformance with relevant </w:t>
      </w:r>
      <w:r>
        <w:rPr>
          <w:rFonts w:ascii="Avenir Next" w:eastAsia="IBM Plex Sans" w:hAnsi="Avenir Next" w:cs="IBM Plex Sans"/>
          <w:color w:val="000000"/>
          <w:sz w:val="20"/>
          <w:szCs w:val="20"/>
        </w:rPr>
        <w:t>international standards</w:t>
      </w:r>
      <w:r w:rsidRPr="00031D7C">
        <w:rPr>
          <w:rFonts w:ascii="Avenir Next" w:eastAsia="IBM Plex Sans" w:hAnsi="Avenir Next" w:cs="IBM Plex Sans"/>
          <w:color w:val="000000"/>
          <w:sz w:val="20"/>
          <w:szCs w:val="20"/>
        </w:rPr>
        <w:t xml:space="preserve"> and/or </w:t>
      </w:r>
      <w:r>
        <w:rPr>
          <w:rFonts w:ascii="Avenir Next" w:eastAsia="IBM Plex Sans" w:hAnsi="Avenir Next" w:cs="IBM Plex Sans"/>
          <w:color w:val="000000"/>
          <w:sz w:val="20"/>
          <w:szCs w:val="20"/>
        </w:rPr>
        <w:t>good</w:t>
      </w:r>
      <w:r w:rsidRPr="00031D7C">
        <w:rPr>
          <w:rFonts w:ascii="Avenir Next" w:eastAsia="IBM Plex Sans" w:hAnsi="Avenir Next" w:cs="IBM Plex Sans"/>
          <w:color w:val="000000"/>
          <w:sz w:val="20"/>
          <w:szCs w:val="20"/>
        </w:rPr>
        <w:t xml:space="preserve"> practices</w:t>
      </w:r>
      <w:r>
        <w:rPr>
          <w:rFonts w:ascii="Avenir Next" w:eastAsia="IBM Plex Sans" w:hAnsi="Avenir Next" w:cs="IBM Plex Sans"/>
          <w:color w:val="000000"/>
          <w:sz w:val="20"/>
          <w:szCs w:val="20"/>
        </w:rPr>
        <w:t>.</w:t>
      </w:r>
    </w:p>
    <w:p w14:paraId="0E45FA75" w14:textId="6DD362D6" w:rsidR="0048268D" w:rsidRPr="00031D7C" w:rsidRDefault="0048268D" w:rsidP="0048268D">
      <w:pPr>
        <w:numPr>
          <w:ilvl w:val="0"/>
          <w:numId w:val="15"/>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491F01">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491F01">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2DA6055D" w14:textId="77777777" w:rsidR="0048268D" w:rsidRPr="00C878E5" w:rsidRDefault="0048268D" w:rsidP="0048268D">
      <w:pPr>
        <w:numPr>
          <w:ilvl w:val="0"/>
          <w:numId w:val="15"/>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3651D359" w14:textId="77777777" w:rsidR="0048268D" w:rsidRDefault="0048268D">
      <w:pPr>
        <w:spacing w:before="120" w:after="120" w:line="336" w:lineRule="auto"/>
        <w:rPr>
          <w:rFonts w:ascii="IBM Plex Sans" w:eastAsia="IBM Plex Sans" w:hAnsi="IBM Plex Sans" w:cs="IBM Plex Sans"/>
          <w:color w:val="000000"/>
        </w:rPr>
      </w:pPr>
    </w:p>
    <w:p w14:paraId="53FB964D" w14:textId="77777777" w:rsidR="0048268D" w:rsidRDefault="0048268D">
      <w:pPr>
        <w:spacing w:before="120" w:after="120" w:line="336" w:lineRule="auto"/>
        <w:rPr>
          <w:rFonts w:ascii="IBM Plex Sans" w:eastAsia="IBM Plex Sans" w:hAnsi="IBM Plex Sans" w:cs="IBM Plex Sans"/>
          <w:color w:val="000000"/>
        </w:rPr>
      </w:pPr>
    </w:p>
    <w:p w14:paraId="2A6275D7" w14:textId="77777777" w:rsidR="0048268D" w:rsidRDefault="0048268D">
      <w:pPr>
        <w:spacing w:before="120" w:after="120" w:line="336" w:lineRule="auto"/>
        <w:rPr>
          <w:rFonts w:ascii="IBM Plex Sans" w:eastAsia="IBM Plex Sans" w:hAnsi="IBM Plex Sans" w:cs="IBM Plex Sans"/>
          <w:color w:val="000000"/>
        </w:rPr>
      </w:pPr>
    </w:p>
    <w:p w14:paraId="69F3CB8E" w14:textId="77777777" w:rsidR="0048268D" w:rsidRDefault="0048268D">
      <w:pPr>
        <w:spacing w:before="120" w:after="120" w:line="336" w:lineRule="auto"/>
        <w:rPr>
          <w:rFonts w:ascii="IBM Plex Sans" w:eastAsia="IBM Plex Sans" w:hAnsi="IBM Plex Sans" w:cs="IBM Plex Sans"/>
          <w:color w:val="000000"/>
        </w:rPr>
      </w:pPr>
    </w:p>
    <w:p w14:paraId="2CA3A563" w14:textId="77777777" w:rsidR="0048268D" w:rsidRDefault="0048268D">
      <w:pPr>
        <w:spacing w:before="120" w:after="120" w:line="336" w:lineRule="auto"/>
        <w:rPr>
          <w:rFonts w:ascii="IBM Plex Sans" w:eastAsia="IBM Plex Sans" w:hAnsi="IBM Plex Sans" w:cs="IBM Plex Sans"/>
          <w:color w:val="000000"/>
        </w:rPr>
      </w:pPr>
    </w:p>
    <w:p w14:paraId="079BDADC" w14:textId="77777777" w:rsidR="0048268D" w:rsidRDefault="0048268D">
      <w:pPr>
        <w:spacing w:before="120" w:after="120" w:line="336" w:lineRule="auto"/>
        <w:rPr>
          <w:rFonts w:ascii="IBM Plex Sans" w:eastAsia="IBM Plex Sans" w:hAnsi="IBM Plex Sans" w:cs="IBM Plex Sans"/>
          <w:color w:val="000000"/>
        </w:rPr>
      </w:pPr>
    </w:p>
    <w:p w14:paraId="655CB81A" w14:textId="77777777" w:rsidR="0048268D" w:rsidRDefault="0048268D">
      <w:pPr>
        <w:spacing w:before="120" w:after="120" w:line="336" w:lineRule="auto"/>
        <w:rPr>
          <w:rFonts w:ascii="IBM Plex Sans" w:eastAsia="IBM Plex Sans" w:hAnsi="IBM Plex Sans" w:cs="IBM Plex Sans"/>
          <w:color w:val="000000"/>
        </w:rPr>
      </w:pPr>
    </w:p>
    <w:p w14:paraId="3EDDD52C" w14:textId="77777777" w:rsidR="0048268D" w:rsidRDefault="0048268D">
      <w:pPr>
        <w:spacing w:before="120" w:after="120" w:line="336" w:lineRule="auto"/>
        <w:rPr>
          <w:rFonts w:ascii="IBM Plex Sans" w:eastAsia="IBM Plex Sans" w:hAnsi="IBM Plex Sans" w:cs="IBM Plex Sans"/>
          <w:color w:val="000000"/>
        </w:rPr>
      </w:pPr>
    </w:p>
    <w:p w14:paraId="6352A498" w14:textId="77777777" w:rsidR="0048268D" w:rsidRDefault="0048268D">
      <w:pPr>
        <w:spacing w:before="120" w:after="120" w:line="336" w:lineRule="auto"/>
        <w:rPr>
          <w:rFonts w:ascii="IBM Plex Sans" w:eastAsia="IBM Plex Sans" w:hAnsi="IBM Plex Sans" w:cs="IBM Plex Sans"/>
          <w:color w:val="000000"/>
        </w:rPr>
      </w:pPr>
    </w:p>
    <w:p w14:paraId="2146D3CA" w14:textId="77777777" w:rsidR="0048268D" w:rsidRDefault="0048268D">
      <w:pPr>
        <w:spacing w:before="120" w:after="120" w:line="336" w:lineRule="auto"/>
        <w:rPr>
          <w:rFonts w:ascii="IBM Plex Sans" w:eastAsia="IBM Plex Sans" w:hAnsi="IBM Plex Sans" w:cs="IBM Plex Sans"/>
          <w:color w:val="000000"/>
        </w:rPr>
      </w:pPr>
    </w:p>
    <w:p w14:paraId="3537A7F4" w14:textId="77777777" w:rsidR="0048268D" w:rsidRDefault="0048268D">
      <w:pPr>
        <w:spacing w:before="120" w:after="120" w:line="336" w:lineRule="auto"/>
        <w:rPr>
          <w:rFonts w:ascii="IBM Plex Sans" w:eastAsia="IBM Plex Sans" w:hAnsi="IBM Plex Sans" w:cs="IBM Plex Sans"/>
          <w:color w:val="000000"/>
        </w:rPr>
        <w:sectPr w:rsidR="0048268D" w:rsidSect="003952D9">
          <w:pgSz w:w="11910" w:h="16845"/>
          <w:pgMar w:top="1440" w:right="1440" w:bottom="1440" w:left="1440" w:header="720" w:footer="720" w:gutter="0"/>
          <w:cols w:space="720"/>
        </w:sectPr>
      </w:pPr>
    </w:p>
    <w:p w14:paraId="4AD5C22D" w14:textId="391B20DA" w:rsidR="00017F8A" w:rsidRPr="0048268D" w:rsidRDefault="00000000">
      <w:pPr>
        <w:spacing w:before="120" w:after="120" w:line="336" w:lineRule="auto"/>
        <w:rPr>
          <w:rFonts w:ascii="Bodoni 72 Book" w:hAnsi="Bodoni 72 Book"/>
        </w:rPr>
      </w:pPr>
      <w:r w:rsidRPr="0048268D">
        <w:rPr>
          <w:rFonts w:ascii="Bodoni 72 Book" w:eastAsia="IBM Plex Sans" w:hAnsi="Bodoni 72 Book" w:cs="IBM Plex Sans"/>
          <w:color w:val="000000"/>
        </w:rPr>
        <w:lastRenderedPageBreak/>
        <w:t xml:space="preserve">   </w:t>
      </w:r>
      <w:r w:rsidR="0048268D">
        <w:rPr>
          <w:rFonts w:ascii="Bodoni 72 Book" w:eastAsia="Montserrat" w:hAnsi="Bodoni 72 Book" w:cs="Montserrat"/>
          <w:color w:val="68807A"/>
          <w:sz w:val="64"/>
          <w:szCs w:val="64"/>
        </w:rPr>
        <w:t xml:space="preserve">Questionnaire </w:t>
      </w:r>
    </w:p>
    <w:p w14:paraId="058709A6" w14:textId="77777777" w:rsidR="00017F8A" w:rsidRDefault="00017F8A">
      <w:pPr>
        <w:pBdr>
          <w:bottom w:val="single" w:sz="6" w:space="0" w:color="68807A"/>
        </w:pBdr>
        <w:spacing w:before="120" w:after="120" w:line="0" w:lineRule="auto"/>
      </w:pPr>
    </w:p>
    <w:tbl>
      <w:tblPr>
        <w:tblStyle w:val="TableGrid"/>
        <w:tblW w:w="14312" w:type="dxa"/>
        <w:tblBorders>
          <w:top w:val="single" w:sz="6" w:space="0" w:color="68807A"/>
          <w:left w:val="single" w:sz="6" w:space="0" w:color="68807A"/>
          <w:bottom w:val="single" w:sz="6" w:space="0" w:color="68807A"/>
          <w:right w:val="single" w:sz="6" w:space="0" w:color="68807A"/>
          <w:insideH w:val="single" w:sz="6" w:space="0" w:color="68807A"/>
          <w:insideV w:val="single" w:sz="6" w:space="0" w:color="68807A"/>
        </w:tblBorders>
        <w:tblLook w:val="04A0" w:firstRow="1" w:lastRow="0" w:firstColumn="1" w:lastColumn="0" w:noHBand="0" w:noVBand="1"/>
      </w:tblPr>
      <w:tblGrid>
        <w:gridCol w:w="4248"/>
        <w:gridCol w:w="2126"/>
        <w:gridCol w:w="4360"/>
        <w:gridCol w:w="3578"/>
      </w:tblGrid>
      <w:tr w:rsidR="006B30BE" w:rsidRPr="006A1225" w14:paraId="2AC7CC5C" w14:textId="77777777" w:rsidTr="006B30BE">
        <w:trPr>
          <w:trHeight w:val="354"/>
        </w:trPr>
        <w:tc>
          <w:tcPr>
            <w:tcW w:w="14312" w:type="dxa"/>
            <w:gridSpan w:val="4"/>
            <w:shd w:val="clear" w:color="auto" w:fill="68807A"/>
            <w:vAlign w:val="center"/>
          </w:tcPr>
          <w:p w14:paraId="65D15571" w14:textId="0D51AEE7" w:rsidR="006B30BE" w:rsidRPr="006B30BE" w:rsidRDefault="006B30BE" w:rsidP="006B30BE">
            <w:pPr>
              <w:widowControl w:val="0"/>
              <w:autoSpaceDE w:val="0"/>
              <w:autoSpaceDN w:val="0"/>
              <w:spacing w:before="67"/>
              <w:rPr>
                <w:rFonts w:ascii="Avenir Next Ultra Light" w:hAnsi="Avenir Next Ultra Light"/>
                <w:b/>
                <w:bCs/>
                <w:color w:val="FFFFFF" w:themeColor="background1"/>
              </w:rPr>
            </w:pPr>
            <w:r w:rsidRPr="006B30BE">
              <w:rPr>
                <w:rFonts w:ascii="Avenir Next Ultra Light" w:hAnsi="Avenir Next Ultra Light"/>
                <w:b/>
                <w:bCs/>
                <w:color w:val="FFFFFF" w:themeColor="background1"/>
              </w:rPr>
              <w:t>Legitimacy</w:t>
            </w:r>
          </w:p>
        </w:tc>
      </w:tr>
      <w:tr w:rsidR="006B30BE" w:rsidRPr="006A1225" w14:paraId="30192690" w14:textId="77777777" w:rsidTr="006B30BE">
        <w:tc>
          <w:tcPr>
            <w:tcW w:w="4248" w:type="dxa"/>
            <w:shd w:val="clear" w:color="auto" w:fill="BBC7A7"/>
            <w:vAlign w:val="center"/>
          </w:tcPr>
          <w:p w14:paraId="4DF7A602"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30A88A99"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4CD9CA5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5A33BB9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0DAFE60D"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1A70F51E" w14:textId="77777777" w:rsidTr="006B30BE">
        <w:tc>
          <w:tcPr>
            <w:tcW w:w="4248" w:type="dxa"/>
          </w:tcPr>
          <w:p w14:paraId="4FE931BC"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Does the GRM operate independently of interested parties?</w:t>
            </w:r>
          </w:p>
          <w:p w14:paraId="4025E7D1" w14:textId="77777777" w:rsidR="006B30BE" w:rsidRPr="006B30BE" w:rsidRDefault="006B30BE" w:rsidP="00CE0AF6">
            <w:pPr>
              <w:pStyle w:val="ListParagraph"/>
              <w:ind w:left="1080"/>
              <w:rPr>
                <w:rFonts w:ascii="Avenir Next" w:hAnsi="Avenir Next"/>
                <w:b/>
                <w:bCs/>
                <w:sz w:val="20"/>
                <w:szCs w:val="20"/>
              </w:rPr>
            </w:pPr>
          </w:p>
        </w:tc>
        <w:tc>
          <w:tcPr>
            <w:tcW w:w="2126" w:type="dxa"/>
          </w:tcPr>
          <w:p w14:paraId="093B13B2" w14:textId="77777777" w:rsidR="006B30BE" w:rsidRPr="006B30BE" w:rsidRDefault="006B30BE" w:rsidP="00CE0AF6">
            <w:pPr>
              <w:jc w:val="center"/>
              <w:rPr>
                <w:rFonts w:ascii="Avenir Next" w:hAnsi="Avenir Next"/>
                <w:b/>
                <w:bCs/>
                <w:sz w:val="20"/>
                <w:szCs w:val="20"/>
              </w:rPr>
            </w:pPr>
          </w:p>
        </w:tc>
        <w:tc>
          <w:tcPr>
            <w:tcW w:w="4360" w:type="dxa"/>
          </w:tcPr>
          <w:p w14:paraId="3A6F542E" w14:textId="77777777" w:rsidR="006B30BE" w:rsidRPr="006B30BE" w:rsidRDefault="006B30BE" w:rsidP="00CE0AF6">
            <w:pPr>
              <w:jc w:val="center"/>
              <w:rPr>
                <w:rFonts w:ascii="Avenir Next" w:hAnsi="Avenir Next"/>
                <w:b/>
                <w:bCs/>
                <w:sz w:val="20"/>
                <w:szCs w:val="20"/>
              </w:rPr>
            </w:pPr>
          </w:p>
        </w:tc>
        <w:tc>
          <w:tcPr>
            <w:tcW w:w="3578" w:type="dxa"/>
          </w:tcPr>
          <w:p w14:paraId="5BFD2B3F" w14:textId="77777777" w:rsidR="006B30BE" w:rsidRPr="006B30BE" w:rsidRDefault="006B30BE" w:rsidP="00CE0AF6">
            <w:pPr>
              <w:jc w:val="center"/>
              <w:rPr>
                <w:rFonts w:ascii="Avenir Next" w:hAnsi="Avenir Next"/>
                <w:b/>
                <w:bCs/>
                <w:sz w:val="20"/>
                <w:szCs w:val="20"/>
              </w:rPr>
            </w:pPr>
          </w:p>
        </w:tc>
      </w:tr>
      <w:tr w:rsidR="006B30BE" w:rsidRPr="006A1225" w14:paraId="2A47CCFB" w14:textId="77777777" w:rsidTr="006B30BE">
        <w:tc>
          <w:tcPr>
            <w:tcW w:w="4248" w:type="dxa"/>
          </w:tcPr>
          <w:p w14:paraId="7A784295"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Does the GRM report on its performance (i.e. monitoring and evaluation function)?</w:t>
            </w:r>
          </w:p>
          <w:p w14:paraId="729F414A" w14:textId="77777777" w:rsidR="006B30BE" w:rsidRPr="006B30BE" w:rsidRDefault="006B30BE" w:rsidP="00CE0AF6">
            <w:pPr>
              <w:pStyle w:val="ListParagraph"/>
              <w:ind w:left="1080"/>
              <w:rPr>
                <w:rFonts w:ascii="Avenir Next" w:hAnsi="Avenir Next"/>
                <w:sz w:val="20"/>
                <w:szCs w:val="20"/>
              </w:rPr>
            </w:pPr>
          </w:p>
        </w:tc>
        <w:tc>
          <w:tcPr>
            <w:tcW w:w="2126" w:type="dxa"/>
          </w:tcPr>
          <w:p w14:paraId="6298BB20" w14:textId="77777777" w:rsidR="006B30BE" w:rsidRPr="006B30BE" w:rsidRDefault="006B30BE" w:rsidP="00CE0AF6">
            <w:pPr>
              <w:jc w:val="center"/>
              <w:rPr>
                <w:rFonts w:ascii="Avenir Next" w:hAnsi="Avenir Next"/>
                <w:b/>
                <w:bCs/>
                <w:sz w:val="20"/>
                <w:szCs w:val="20"/>
              </w:rPr>
            </w:pPr>
          </w:p>
        </w:tc>
        <w:tc>
          <w:tcPr>
            <w:tcW w:w="4360" w:type="dxa"/>
          </w:tcPr>
          <w:p w14:paraId="184FB596" w14:textId="77777777" w:rsidR="006B30BE" w:rsidRPr="006B30BE" w:rsidRDefault="006B30BE" w:rsidP="00CE0AF6">
            <w:pPr>
              <w:jc w:val="center"/>
              <w:rPr>
                <w:rFonts w:ascii="Avenir Next" w:hAnsi="Avenir Next"/>
                <w:b/>
                <w:bCs/>
                <w:sz w:val="20"/>
                <w:szCs w:val="20"/>
              </w:rPr>
            </w:pPr>
          </w:p>
        </w:tc>
        <w:tc>
          <w:tcPr>
            <w:tcW w:w="3578" w:type="dxa"/>
          </w:tcPr>
          <w:p w14:paraId="44F5F1BE" w14:textId="77777777" w:rsidR="006B30BE" w:rsidRPr="006B30BE" w:rsidRDefault="006B30BE" w:rsidP="00CE0AF6">
            <w:pPr>
              <w:jc w:val="center"/>
              <w:rPr>
                <w:rFonts w:ascii="Avenir Next" w:hAnsi="Avenir Next"/>
                <w:b/>
                <w:bCs/>
                <w:sz w:val="20"/>
                <w:szCs w:val="20"/>
              </w:rPr>
            </w:pPr>
          </w:p>
        </w:tc>
      </w:tr>
      <w:tr w:rsidR="006B30BE" w:rsidRPr="006A1225" w14:paraId="70814FD1" w14:textId="77777777" w:rsidTr="006B30BE">
        <w:tc>
          <w:tcPr>
            <w:tcW w:w="14312" w:type="dxa"/>
            <w:gridSpan w:val="4"/>
            <w:shd w:val="clear" w:color="auto" w:fill="68807A"/>
            <w:vAlign w:val="center"/>
          </w:tcPr>
          <w:p w14:paraId="621C3DF2" w14:textId="11AF8F57" w:rsidR="006B30BE" w:rsidRPr="006B30BE" w:rsidRDefault="006B30BE" w:rsidP="006B30BE">
            <w:pPr>
              <w:rPr>
                <w:rFonts w:ascii="Avenir Next Ultra Light" w:hAnsi="Avenir Next Ultra Light" w:cs="Calibri"/>
                <w:b/>
                <w:bCs/>
                <w:color w:val="FFFFFF" w:themeColor="background1"/>
              </w:rPr>
            </w:pPr>
            <w:r w:rsidRPr="006B30BE">
              <w:rPr>
                <w:rFonts w:ascii="Avenir Next Ultra Light" w:hAnsi="Avenir Next Ultra Light" w:cs="Calibri"/>
                <w:b/>
                <w:bCs/>
                <w:color w:val="FFFFFF" w:themeColor="background1"/>
              </w:rPr>
              <w:t>Accessibility</w:t>
            </w:r>
          </w:p>
        </w:tc>
      </w:tr>
      <w:tr w:rsidR="006B30BE" w:rsidRPr="006A1225" w14:paraId="73A74B05" w14:textId="77777777" w:rsidTr="006B30BE">
        <w:tc>
          <w:tcPr>
            <w:tcW w:w="4248" w:type="dxa"/>
            <w:shd w:val="clear" w:color="auto" w:fill="BBC7A7"/>
            <w:vAlign w:val="center"/>
          </w:tcPr>
          <w:p w14:paraId="2BDFFC2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4AD8A441"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74222DC6"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5E42EECD"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48D021A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2231038D" w14:textId="77777777" w:rsidTr="006B30BE">
        <w:tc>
          <w:tcPr>
            <w:tcW w:w="4248" w:type="dxa"/>
          </w:tcPr>
          <w:p w14:paraId="73F5F2BA"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Are the GRM procedures for filing complaints and seeking actions publicly available, advertised and communicated through different and culturally appropriate channels to all concerned, regardless of their location, language, education or income level (e.g. radio, website, posters, etc.)?</w:t>
            </w:r>
          </w:p>
          <w:p w14:paraId="3D6DC9C6" w14:textId="77777777" w:rsidR="006B30BE" w:rsidRPr="006B30BE" w:rsidRDefault="006B30BE" w:rsidP="00CE0AF6">
            <w:pPr>
              <w:pStyle w:val="ListParagraph"/>
              <w:rPr>
                <w:rFonts w:ascii="Avenir Next" w:hAnsi="Avenir Next"/>
                <w:sz w:val="20"/>
                <w:szCs w:val="20"/>
              </w:rPr>
            </w:pPr>
          </w:p>
        </w:tc>
        <w:tc>
          <w:tcPr>
            <w:tcW w:w="2126" w:type="dxa"/>
          </w:tcPr>
          <w:p w14:paraId="37E282AD" w14:textId="77777777" w:rsidR="006B30BE" w:rsidRPr="006B30BE" w:rsidRDefault="006B30BE" w:rsidP="00CE0AF6">
            <w:pPr>
              <w:rPr>
                <w:rFonts w:ascii="Avenir Next" w:hAnsi="Avenir Next"/>
                <w:sz w:val="20"/>
                <w:szCs w:val="20"/>
              </w:rPr>
            </w:pPr>
          </w:p>
        </w:tc>
        <w:tc>
          <w:tcPr>
            <w:tcW w:w="4360" w:type="dxa"/>
          </w:tcPr>
          <w:p w14:paraId="07BC0736" w14:textId="77777777" w:rsidR="006B30BE" w:rsidRPr="006B30BE" w:rsidRDefault="006B30BE" w:rsidP="00CE0AF6">
            <w:pPr>
              <w:rPr>
                <w:rFonts w:ascii="Avenir Next" w:hAnsi="Avenir Next"/>
                <w:sz w:val="20"/>
                <w:szCs w:val="20"/>
              </w:rPr>
            </w:pPr>
          </w:p>
        </w:tc>
        <w:tc>
          <w:tcPr>
            <w:tcW w:w="3578" w:type="dxa"/>
          </w:tcPr>
          <w:p w14:paraId="536D465B" w14:textId="77777777" w:rsidR="006B30BE" w:rsidRPr="006B30BE" w:rsidRDefault="006B30BE" w:rsidP="00CE0AF6">
            <w:pPr>
              <w:rPr>
                <w:rFonts w:ascii="Avenir Next" w:hAnsi="Avenir Next"/>
                <w:sz w:val="20"/>
                <w:szCs w:val="20"/>
              </w:rPr>
            </w:pPr>
          </w:p>
        </w:tc>
      </w:tr>
      <w:tr w:rsidR="006B30BE" w:rsidRPr="006A1225" w14:paraId="409DCB86" w14:textId="77777777" w:rsidTr="006B30BE">
        <w:tc>
          <w:tcPr>
            <w:tcW w:w="4248" w:type="dxa"/>
          </w:tcPr>
          <w:p w14:paraId="4D6200AE"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Does the GRM offer a range of channels for filing complaints (e.g. phone, letter, email, website, etc.)?</w:t>
            </w:r>
          </w:p>
          <w:p w14:paraId="43C0DF7D" w14:textId="77777777" w:rsidR="006B30BE" w:rsidRPr="006B30BE" w:rsidRDefault="006B30BE" w:rsidP="00CE0AF6">
            <w:pPr>
              <w:pStyle w:val="ListParagraph"/>
              <w:rPr>
                <w:rFonts w:ascii="Avenir Next" w:hAnsi="Avenir Next"/>
                <w:sz w:val="20"/>
                <w:szCs w:val="20"/>
              </w:rPr>
            </w:pPr>
          </w:p>
        </w:tc>
        <w:tc>
          <w:tcPr>
            <w:tcW w:w="2126" w:type="dxa"/>
          </w:tcPr>
          <w:p w14:paraId="594A94CD" w14:textId="77777777" w:rsidR="006B30BE" w:rsidRPr="006B30BE" w:rsidRDefault="006B30BE" w:rsidP="00CE0AF6">
            <w:pPr>
              <w:rPr>
                <w:rFonts w:ascii="Avenir Next" w:hAnsi="Avenir Next"/>
                <w:sz w:val="20"/>
                <w:szCs w:val="20"/>
              </w:rPr>
            </w:pPr>
          </w:p>
        </w:tc>
        <w:tc>
          <w:tcPr>
            <w:tcW w:w="4360" w:type="dxa"/>
          </w:tcPr>
          <w:p w14:paraId="1D3B66E0" w14:textId="77777777" w:rsidR="006B30BE" w:rsidRPr="006B30BE" w:rsidRDefault="006B30BE" w:rsidP="00CE0AF6">
            <w:pPr>
              <w:rPr>
                <w:rFonts w:ascii="Avenir Next" w:hAnsi="Avenir Next"/>
                <w:sz w:val="20"/>
                <w:szCs w:val="20"/>
              </w:rPr>
            </w:pPr>
          </w:p>
        </w:tc>
        <w:tc>
          <w:tcPr>
            <w:tcW w:w="3578" w:type="dxa"/>
          </w:tcPr>
          <w:p w14:paraId="0AE65028" w14:textId="77777777" w:rsidR="006B30BE" w:rsidRPr="006B30BE" w:rsidRDefault="006B30BE" w:rsidP="00CE0AF6">
            <w:pPr>
              <w:rPr>
                <w:rFonts w:ascii="Avenir Next" w:hAnsi="Avenir Next"/>
                <w:sz w:val="20"/>
                <w:szCs w:val="20"/>
              </w:rPr>
            </w:pPr>
          </w:p>
        </w:tc>
      </w:tr>
      <w:tr w:rsidR="006B30BE" w:rsidRPr="006A1225" w14:paraId="3A6BDC36" w14:textId="77777777" w:rsidTr="006B30BE">
        <w:tc>
          <w:tcPr>
            <w:tcW w:w="4248" w:type="dxa"/>
          </w:tcPr>
          <w:p w14:paraId="0095A7FA"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lastRenderedPageBreak/>
              <w:t>Can complaints be filed anonymously and are there internal controls to ensure anonymity throughout the process, where possible?</w:t>
            </w:r>
          </w:p>
          <w:p w14:paraId="0859E290" w14:textId="77777777" w:rsidR="006B30BE" w:rsidRPr="006B30BE" w:rsidRDefault="006B30BE" w:rsidP="00CE0AF6">
            <w:pPr>
              <w:rPr>
                <w:rFonts w:ascii="Avenir Next" w:hAnsi="Avenir Next"/>
                <w:sz w:val="20"/>
                <w:szCs w:val="20"/>
              </w:rPr>
            </w:pPr>
          </w:p>
        </w:tc>
        <w:tc>
          <w:tcPr>
            <w:tcW w:w="2126" w:type="dxa"/>
          </w:tcPr>
          <w:p w14:paraId="7B555F63" w14:textId="77777777" w:rsidR="006B30BE" w:rsidRPr="006B30BE" w:rsidRDefault="006B30BE" w:rsidP="00CE0AF6">
            <w:pPr>
              <w:rPr>
                <w:rFonts w:ascii="Avenir Next" w:hAnsi="Avenir Next"/>
                <w:sz w:val="20"/>
                <w:szCs w:val="20"/>
              </w:rPr>
            </w:pPr>
          </w:p>
        </w:tc>
        <w:tc>
          <w:tcPr>
            <w:tcW w:w="4360" w:type="dxa"/>
          </w:tcPr>
          <w:p w14:paraId="153963B3" w14:textId="77777777" w:rsidR="006B30BE" w:rsidRPr="006B30BE" w:rsidRDefault="006B30BE" w:rsidP="00CE0AF6">
            <w:pPr>
              <w:rPr>
                <w:rFonts w:ascii="Avenir Next" w:hAnsi="Avenir Next"/>
                <w:sz w:val="20"/>
                <w:szCs w:val="20"/>
              </w:rPr>
            </w:pPr>
          </w:p>
        </w:tc>
        <w:tc>
          <w:tcPr>
            <w:tcW w:w="3578" w:type="dxa"/>
          </w:tcPr>
          <w:p w14:paraId="55B27629" w14:textId="77777777" w:rsidR="006B30BE" w:rsidRPr="006B30BE" w:rsidRDefault="006B30BE" w:rsidP="00CE0AF6">
            <w:pPr>
              <w:rPr>
                <w:rFonts w:ascii="Avenir Next" w:hAnsi="Avenir Next"/>
                <w:sz w:val="20"/>
                <w:szCs w:val="20"/>
              </w:rPr>
            </w:pPr>
          </w:p>
        </w:tc>
      </w:tr>
      <w:tr w:rsidR="006B30BE" w:rsidRPr="006A1225" w14:paraId="2ED2C340" w14:textId="77777777" w:rsidTr="006B30BE">
        <w:tc>
          <w:tcPr>
            <w:tcW w:w="14312" w:type="dxa"/>
            <w:gridSpan w:val="4"/>
            <w:shd w:val="clear" w:color="auto" w:fill="68807A"/>
            <w:vAlign w:val="center"/>
          </w:tcPr>
          <w:p w14:paraId="56EBCADF" w14:textId="77777777" w:rsidR="006B30BE" w:rsidRPr="006B30BE" w:rsidRDefault="006B30BE" w:rsidP="006B30BE">
            <w:pPr>
              <w:widowControl w:val="0"/>
              <w:autoSpaceDE w:val="0"/>
              <w:autoSpaceDN w:val="0"/>
              <w:spacing w:before="67"/>
              <w:rPr>
                <w:rFonts w:ascii="Avenir Next Ultra Light" w:hAnsi="Avenir Next Ultra Light"/>
                <w:b/>
                <w:bCs/>
                <w:color w:val="FFFFFF" w:themeColor="background1"/>
              </w:rPr>
            </w:pPr>
            <w:r w:rsidRPr="006B30BE">
              <w:rPr>
                <w:rFonts w:ascii="Avenir Next Ultra Light" w:hAnsi="Avenir Next Ultra Light"/>
                <w:b/>
                <w:bCs/>
                <w:color w:val="FFFFFF" w:themeColor="background1"/>
              </w:rPr>
              <w:t>Predictability</w:t>
            </w:r>
          </w:p>
        </w:tc>
      </w:tr>
      <w:tr w:rsidR="006B30BE" w:rsidRPr="006A1225" w14:paraId="04F0EE14" w14:textId="77777777" w:rsidTr="006B30BE">
        <w:tc>
          <w:tcPr>
            <w:tcW w:w="4248" w:type="dxa"/>
            <w:shd w:val="clear" w:color="auto" w:fill="BBC7A7"/>
            <w:vAlign w:val="center"/>
          </w:tcPr>
          <w:p w14:paraId="669939DA"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1F4D449A"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724D8AB4"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23CF1587"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5A79925D"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7D06A977" w14:textId="77777777" w:rsidTr="006B30BE">
        <w:tc>
          <w:tcPr>
            <w:tcW w:w="4248" w:type="dxa"/>
          </w:tcPr>
          <w:p w14:paraId="29EA2525"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Does the GRM offer a clear procedure with time frames for each stage and provides clarity on the types of results it can (and cannot) deliver?</w:t>
            </w:r>
          </w:p>
          <w:p w14:paraId="169FD8E8" w14:textId="77777777" w:rsidR="006B30BE" w:rsidRPr="006B30BE" w:rsidRDefault="006B30BE" w:rsidP="00CE0AF6">
            <w:pPr>
              <w:pStyle w:val="ListParagraph"/>
              <w:rPr>
                <w:rFonts w:ascii="Avenir Next" w:hAnsi="Avenir Next"/>
                <w:sz w:val="20"/>
                <w:szCs w:val="20"/>
              </w:rPr>
            </w:pPr>
          </w:p>
        </w:tc>
        <w:tc>
          <w:tcPr>
            <w:tcW w:w="2126" w:type="dxa"/>
          </w:tcPr>
          <w:p w14:paraId="0D50F54E" w14:textId="77777777" w:rsidR="006B30BE" w:rsidRPr="006B30BE" w:rsidRDefault="006B30BE" w:rsidP="00CE0AF6">
            <w:pPr>
              <w:rPr>
                <w:rFonts w:ascii="Avenir Next" w:hAnsi="Avenir Next"/>
                <w:sz w:val="20"/>
                <w:szCs w:val="20"/>
              </w:rPr>
            </w:pPr>
          </w:p>
        </w:tc>
        <w:tc>
          <w:tcPr>
            <w:tcW w:w="4360" w:type="dxa"/>
          </w:tcPr>
          <w:p w14:paraId="75DF6D93" w14:textId="77777777" w:rsidR="006B30BE" w:rsidRPr="006B30BE" w:rsidRDefault="006B30BE" w:rsidP="00CE0AF6">
            <w:pPr>
              <w:rPr>
                <w:rFonts w:ascii="Avenir Next" w:hAnsi="Avenir Next"/>
                <w:sz w:val="20"/>
                <w:szCs w:val="20"/>
              </w:rPr>
            </w:pPr>
          </w:p>
        </w:tc>
        <w:tc>
          <w:tcPr>
            <w:tcW w:w="3578" w:type="dxa"/>
          </w:tcPr>
          <w:p w14:paraId="177BA21B" w14:textId="77777777" w:rsidR="006B30BE" w:rsidRPr="006B30BE" w:rsidRDefault="006B30BE" w:rsidP="00CE0AF6">
            <w:pPr>
              <w:rPr>
                <w:rFonts w:ascii="Avenir Next" w:hAnsi="Avenir Next"/>
                <w:sz w:val="20"/>
                <w:szCs w:val="20"/>
              </w:rPr>
            </w:pPr>
          </w:p>
        </w:tc>
      </w:tr>
      <w:tr w:rsidR="006B30BE" w:rsidRPr="006A1225" w14:paraId="3DC898AD" w14:textId="77777777" w:rsidTr="006B30BE">
        <w:tc>
          <w:tcPr>
            <w:tcW w:w="4248" w:type="dxa"/>
          </w:tcPr>
          <w:p w14:paraId="03A03B43" w14:textId="77777777" w:rsidR="006B30BE" w:rsidRPr="006B30BE" w:rsidRDefault="006B30BE" w:rsidP="00CE0AF6">
            <w:pPr>
              <w:rPr>
                <w:rFonts w:ascii="Avenir Next" w:hAnsi="Avenir Next"/>
                <w:sz w:val="20"/>
                <w:szCs w:val="20"/>
              </w:rPr>
            </w:pPr>
          </w:p>
          <w:p w14:paraId="350E2493"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Is the filing of complaints acknowledged in writing? Does the acknowledgment outline the procedure to be followed, provide contact details and indicate how much time is it likely to take to resolve the complaint?</w:t>
            </w:r>
          </w:p>
          <w:p w14:paraId="7A9DEDD2" w14:textId="77777777" w:rsidR="006B30BE" w:rsidRPr="006B30BE" w:rsidRDefault="006B30BE" w:rsidP="00CE0AF6">
            <w:pPr>
              <w:rPr>
                <w:rFonts w:ascii="Avenir Next" w:hAnsi="Avenir Next"/>
                <w:sz w:val="20"/>
                <w:szCs w:val="20"/>
              </w:rPr>
            </w:pPr>
          </w:p>
        </w:tc>
        <w:tc>
          <w:tcPr>
            <w:tcW w:w="2126" w:type="dxa"/>
          </w:tcPr>
          <w:p w14:paraId="17B98A00" w14:textId="77777777" w:rsidR="006B30BE" w:rsidRPr="006B30BE" w:rsidRDefault="006B30BE" w:rsidP="00CE0AF6">
            <w:pPr>
              <w:rPr>
                <w:rFonts w:ascii="Avenir Next" w:hAnsi="Avenir Next"/>
                <w:sz w:val="20"/>
                <w:szCs w:val="20"/>
              </w:rPr>
            </w:pPr>
          </w:p>
        </w:tc>
        <w:tc>
          <w:tcPr>
            <w:tcW w:w="4360" w:type="dxa"/>
          </w:tcPr>
          <w:p w14:paraId="43EFED74" w14:textId="77777777" w:rsidR="006B30BE" w:rsidRPr="006B30BE" w:rsidRDefault="006B30BE" w:rsidP="00CE0AF6">
            <w:pPr>
              <w:rPr>
                <w:rFonts w:ascii="Avenir Next" w:hAnsi="Avenir Next"/>
                <w:sz w:val="20"/>
                <w:szCs w:val="20"/>
              </w:rPr>
            </w:pPr>
          </w:p>
        </w:tc>
        <w:tc>
          <w:tcPr>
            <w:tcW w:w="3578" w:type="dxa"/>
          </w:tcPr>
          <w:p w14:paraId="6675519B" w14:textId="77777777" w:rsidR="006B30BE" w:rsidRPr="006B30BE" w:rsidRDefault="006B30BE" w:rsidP="00CE0AF6">
            <w:pPr>
              <w:rPr>
                <w:rFonts w:ascii="Avenir Next" w:hAnsi="Avenir Next"/>
                <w:sz w:val="20"/>
                <w:szCs w:val="20"/>
              </w:rPr>
            </w:pPr>
          </w:p>
        </w:tc>
      </w:tr>
      <w:tr w:rsidR="006B30BE" w:rsidRPr="006A1225" w14:paraId="3B52E361" w14:textId="77777777" w:rsidTr="006B30BE">
        <w:tc>
          <w:tcPr>
            <w:tcW w:w="14312" w:type="dxa"/>
            <w:gridSpan w:val="4"/>
            <w:shd w:val="clear" w:color="auto" w:fill="68807A"/>
            <w:vAlign w:val="center"/>
          </w:tcPr>
          <w:p w14:paraId="5395F7DE" w14:textId="77777777" w:rsidR="006B30BE" w:rsidRPr="006B30BE" w:rsidRDefault="006B30BE" w:rsidP="006B30BE">
            <w:pPr>
              <w:rPr>
                <w:rFonts w:ascii="Avenir Next Ultra Light" w:hAnsi="Avenir Next Ultra Light"/>
                <w:b/>
                <w:bCs/>
                <w:color w:val="FFFFFF" w:themeColor="background1"/>
              </w:rPr>
            </w:pPr>
            <w:r w:rsidRPr="006B30BE">
              <w:rPr>
                <w:rFonts w:ascii="Avenir Next Ultra Light" w:hAnsi="Avenir Next Ultra Light"/>
                <w:b/>
                <w:bCs/>
                <w:color w:val="FFFFFF" w:themeColor="background1"/>
              </w:rPr>
              <w:t>Equitable</w:t>
            </w:r>
          </w:p>
        </w:tc>
      </w:tr>
      <w:tr w:rsidR="006B30BE" w:rsidRPr="006A1225" w14:paraId="5B903A1E" w14:textId="77777777" w:rsidTr="006B30BE">
        <w:tc>
          <w:tcPr>
            <w:tcW w:w="4248" w:type="dxa"/>
            <w:shd w:val="clear" w:color="auto" w:fill="BBC7A7"/>
            <w:vAlign w:val="center"/>
          </w:tcPr>
          <w:p w14:paraId="75E9D102"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26043296"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0A157DE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758B155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73BE0344"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645AB463" w14:textId="77777777" w:rsidTr="006B30BE">
        <w:tc>
          <w:tcPr>
            <w:tcW w:w="4248" w:type="dxa"/>
          </w:tcPr>
          <w:p w14:paraId="471278D3"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 xml:space="preserve">Does the GRM offer aggrieved </w:t>
            </w:r>
            <w:proofErr w:type="gramStart"/>
            <w:r w:rsidRPr="006B30BE">
              <w:rPr>
                <w:rFonts w:ascii="Avenir Next" w:hAnsi="Avenir Next"/>
                <w:sz w:val="20"/>
                <w:szCs w:val="20"/>
              </w:rPr>
              <w:t>parties</w:t>
            </w:r>
            <w:proofErr w:type="gramEnd"/>
            <w:r w:rsidRPr="006B30BE">
              <w:rPr>
                <w:rFonts w:ascii="Avenir Next" w:hAnsi="Avenir Next"/>
                <w:sz w:val="20"/>
                <w:szCs w:val="20"/>
              </w:rPr>
              <w:t xml:space="preserve"> reasonable access to advice and expertise necessary to engage in a grievance process on equal basis with full information and </w:t>
            </w:r>
            <w:r w:rsidRPr="006B30BE">
              <w:rPr>
                <w:rFonts w:ascii="Avenir Next" w:hAnsi="Avenir Next"/>
                <w:sz w:val="20"/>
                <w:szCs w:val="20"/>
              </w:rPr>
              <w:lastRenderedPageBreak/>
              <w:t>respect?</w:t>
            </w:r>
          </w:p>
          <w:p w14:paraId="2AB20E05" w14:textId="77777777" w:rsidR="006B30BE" w:rsidRPr="006B30BE" w:rsidRDefault="006B30BE" w:rsidP="00CE0AF6">
            <w:pPr>
              <w:pStyle w:val="ListParagraph"/>
              <w:rPr>
                <w:rFonts w:ascii="Avenir Next" w:hAnsi="Avenir Next"/>
                <w:sz w:val="20"/>
                <w:szCs w:val="20"/>
              </w:rPr>
            </w:pPr>
            <w:r w:rsidRPr="006B30BE">
              <w:rPr>
                <w:rFonts w:ascii="Avenir Next" w:hAnsi="Avenir Next"/>
                <w:sz w:val="20"/>
                <w:szCs w:val="20"/>
              </w:rPr>
              <w:t xml:space="preserve">  </w:t>
            </w:r>
          </w:p>
        </w:tc>
        <w:tc>
          <w:tcPr>
            <w:tcW w:w="2126" w:type="dxa"/>
          </w:tcPr>
          <w:p w14:paraId="0BD0A7B7" w14:textId="77777777" w:rsidR="006B30BE" w:rsidRPr="006B30BE" w:rsidRDefault="006B30BE" w:rsidP="00CE0AF6">
            <w:pPr>
              <w:rPr>
                <w:rFonts w:ascii="Avenir Next" w:hAnsi="Avenir Next"/>
                <w:sz w:val="20"/>
                <w:szCs w:val="20"/>
              </w:rPr>
            </w:pPr>
          </w:p>
        </w:tc>
        <w:tc>
          <w:tcPr>
            <w:tcW w:w="4360" w:type="dxa"/>
          </w:tcPr>
          <w:p w14:paraId="5EBEDF69" w14:textId="77777777" w:rsidR="006B30BE" w:rsidRPr="006B30BE" w:rsidRDefault="006B30BE" w:rsidP="00CE0AF6">
            <w:pPr>
              <w:rPr>
                <w:rFonts w:ascii="Avenir Next" w:hAnsi="Avenir Next"/>
                <w:sz w:val="20"/>
                <w:szCs w:val="20"/>
              </w:rPr>
            </w:pPr>
          </w:p>
        </w:tc>
        <w:tc>
          <w:tcPr>
            <w:tcW w:w="3578" w:type="dxa"/>
          </w:tcPr>
          <w:p w14:paraId="5B8DA75E" w14:textId="77777777" w:rsidR="006B30BE" w:rsidRPr="006B30BE" w:rsidRDefault="006B30BE" w:rsidP="00CE0AF6">
            <w:pPr>
              <w:rPr>
                <w:rFonts w:ascii="Avenir Next" w:hAnsi="Avenir Next"/>
                <w:sz w:val="20"/>
                <w:szCs w:val="20"/>
              </w:rPr>
            </w:pPr>
          </w:p>
        </w:tc>
      </w:tr>
      <w:tr w:rsidR="006B30BE" w:rsidRPr="006A1225" w14:paraId="34852F51" w14:textId="77777777" w:rsidTr="006B30BE">
        <w:tc>
          <w:tcPr>
            <w:tcW w:w="4248" w:type="dxa"/>
          </w:tcPr>
          <w:p w14:paraId="06C721BF"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Is access to the GRM free of charge?</w:t>
            </w:r>
          </w:p>
          <w:p w14:paraId="20663F75" w14:textId="77777777" w:rsidR="006B30BE" w:rsidRPr="006B30BE" w:rsidRDefault="006B30BE" w:rsidP="00CE0AF6">
            <w:pPr>
              <w:pStyle w:val="ListParagraph"/>
              <w:rPr>
                <w:rFonts w:ascii="Avenir Next" w:hAnsi="Avenir Next"/>
                <w:sz w:val="20"/>
                <w:szCs w:val="20"/>
              </w:rPr>
            </w:pPr>
          </w:p>
        </w:tc>
        <w:tc>
          <w:tcPr>
            <w:tcW w:w="2126" w:type="dxa"/>
          </w:tcPr>
          <w:p w14:paraId="0D9D1F48" w14:textId="77777777" w:rsidR="006B30BE" w:rsidRPr="006B30BE" w:rsidRDefault="006B30BE" w:rsidP="00CE0AF6">
            <w:pPr>
              <w:rPr>
                <w:rFonts w:ascii="Avenir Next" w:hAnsi="Avenir Next"/>
                <w:sz w:val="20"/>
                <w:szCs w:val="20"/>
              </w:rPr>
            </w:pPr>
          </w:p>
        </w:tc>
        <w:tc>
          <w:tcPr>
            <w:tcW w:w="4360" w:type="dxa"/>
          </w:tcPr>
          <w:p w14:paraId="5FC5D456" w14:textId="77777777" w:rsidR="006B30BE" w:rsidRPr="006B30BE" w:rsidRDefault="006B30BE" w:rsidP="00CE0AF6">
            <w:pPr>
              <w:rPr>
                <w:rFonts w:ascii="Avenir Next" w:hAnsi="Avenir Next"/>
                <w:sz w:val="20"/>
                <w:szCs w:val="20"/>
              </w:rPr>
            </w:pPr>
          </w:p>
        </w:tc>
        <w:tc>
          <w:tcPr>
            <w:tcW w:w="3578" w:type="dxa"/>
          </w:tcPr>
          <w:p w14:paraId="436FD683" w14:textId="77777777" w:rsidR="006B30BE" w:rsidRPr="006B30BE" w:rsidRDefault="006B30BE" w:rsidP="00CE0AF6">
            <w:pPr>
              <w:rPr>
                <w:rFonts w:ascii="Avenir Next" w:hAnsi="Avenir Next"/>
                <w:sz w:val="20"/>
                <w:szCs w:val="20"/>
              </w:rPr>
            </w:pPr>
          </w:p>
        </w:tc>
      </w:tr>
      <w:tr w:rsidR="006B30BE" w:rsidRPr="006A1225" w14:paraId="45C50300" w14:textId="77777777" w:rsidTr="006B30BE">
        <w:tc>
          <w:tcPr>
            <w:tcW w:w="14312" w:type="dxa"/>
            <w:gridSpan w:val="4"/>
            <w:shd w:val="clear" w:color="auto" w:fill="68807A"/>
            <w:vAlign w:val="center"/>
          </w:tcPr>
          <w:p w14:paraId="7474F417" w14:textId="77777777" w:rsidR="006B30BE" w:rsidRPr="006B30BE" w:rsidRDefault="006B30BE" w:rsidP="006B30BE">
            <w:pPr>
              <w:widowControl w:val="0"/>
              <w:autoSpaceDE w:val="0"/>
              <w:autoSpaceDN w:val="0"/>
              <w:spacing w:before="67"/>
              <w:rPr>
                <w:rFonts w:ascii="Avenir Next Ultra Light" w:hAnsi="Avenir Next Ultra Light"/>
                <w:b/>
                <w:bCs/>
                <w:color w:val="FFFFFF" w:themeColor="background1"/>
              </w:rPr>
            </w:pPr>
            <w:r w:rsidRPr="006B30BE">
              <w:rPr>
                <w:rFonts w:ascii="Avenir Next Ultra Light" w:hAnsi="Avenir Next Ultra Light"/>
                <w:b/>
                <w:bCs/>
                <w:color w:val="FFFFFF" w:themeColor="background1"/>
              </w:rPr>
              <w:t>Rights compatible</w:t>
            </w:r>
          </w:p>
        </w:tc>
      </w:tr>
      <w:tr w:rsidR="006B30BE" w:rsidRPr="006A1225" w14:paraId="4E8983E6" w14:textId="77777777" w:rsidTr="006B30BE">
        <w:tc>
          <w:tcPr>
            <w:tcW w:w="4248" w:type="dxa"/>
            <w:shd w:val="clear" w:color="auto" w:fill="BBC7A7"/>
            <w:vAlign w:val="center"/>
          </w:tcPr>
          <w:p w14:paraId="3210FF60"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5121E0B0"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1BB59F79"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21B3AF23"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0552A4D0"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5C6F90BC" w14:textId="77777777" w:rsidTr="006B30BE">
        <w:tc>
          <w:tcPr>
            <w:tcW w:w="4248" w:type="dxa"/>
          </w:tcPr>
          <w:p w14:paraId="0C95DB36"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Is there a user survey to obtain feedback on the credibility of the mechanism? Are such comments publicly available?</w:t>
            </w:r>
          </w:p>
          <w:p w14:paraId="6C07531F" w14:textId="77777777" w:rsidR="006B30BE" w:rsidRPr="006B30BE" w:rsidRDefault="006B30BE" w:rsidP="00CE0AF6">
            <w:pPr>
              <w:pStyle w:val="ListParagraph"/>
              <w:rPr>
                <w:rFonts w:ascii="Avenir Next" w:hAnsi="Avenir Next"/>
                <w:sz w:val="20"/>
                <w:szCs w:val="20"/>
              </w:rPr>
            </w:pPr>
          </w:p>
        </w:tc>
        <w:tc>
          <w:tcPr>
            <w:tcW w:w="2126" w:type="dxa"/>
          </w:tcPr>
          <w:p w14:paraId="700CC86A" w14:textId="77777777" w:rsidR="006B30BE" w:rsidRPr="006B30BE" w:rsidRDefault="006B30BE" w:rsidP="00CE0AF6">
            <w:pPr>
              <w:rPr>
                <w:rFonts w:ascii="Avenir Next" w:hAnsi="Avenir Next"/>
                <w:sz w:val="20"/>
                <w:szCs w:val="20"/>
              </w:rPr>
            </w:pPr>
          </w:p>
        </w:tc>
        <w:tc>
          <w:tcPr>
            <w:tcW w:w="4360" w:type="dxa"/>
          </w:tcPr>
          <w:p w14:paraId="357189F6" w14:textId="77777777" w:rsidR="006B30BE" w:rsidRPr="006B30BE" w:rsidRDefault="006B30BE" w:rsidP="00CE0AF6">
            <w:pPr>
              <w:rPr>
                <w:rFonts w:ascii="Avenir Next" w:hAnsi="Avenir Next"/>
                <w:sz w:val="20"/>
                <w:szCs w:val="20"/>
              </w:rPr>
            </w:pPr>
          </w:p>
        </w:tc>
        <w:tc>
          <w:tcPr>
            <w:tcW w:w="3578" w:type="dxa"/>
          </w:tcPr>
          <w:p w14:paraId="5FC67B28" w14:textId="77777777" w:rsidR="006B30BE" w:rsidRPr="006B30BE" w:rsidRDefault="006B30BE" w:rsidP="00CE0AF6">
            <w:pPr>
              <w:rPr>
                <w:rFonts w:ascii="Avenir Next" w:hAnsi="Avenir Next"/>
                <w:sz w:val="20"/>
                <w:szCs w:val="20"/>
              </w:rPr>
            </w:pPr>
          </w:p>
        </w:tc>
      </w:tr>
      <w:tr w:rsidR="006B30BE" w:rsidRPr="006A1225" w14:paraId="6077ADB8" w14:textId="77777777" w:rsidTr="006B30BE">
        <w:tc>
          <w:tcPr>
            <w:tcW w:w="4248" w:type="dxa"/>
          </w:tcPr>
          <w:p w14:paraId="3F106905"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Is there a right to appeal? If yes, are users informed of their right to appeal? Are they informed of their timelines and options?</w:t>
            </w:r>
          </w:p>
          <w:p w14:paraId="7399ADCB" w14:textId="77777777" w:rsidR="006B30BE" w:rsidRPr="006B30BE" w:rsidRDefault="006B30BE" w:rsidP="00CE0AF6">
            <w:pPr>
              <w:pStyle w:val="ListParagraph"/>
              <w:rPr>
                <w:rFonts w:ascii="Avenir Next" w:hAnsi="Avenir Next"/>
                <w:sz w:val="20"/>
                <w:szCs w:val="20"/>
              </w:rPr>
            </w:pPr>
          </w:p>
        </w:tc>
        <w:tc>
          <w:tcPr>
            <w:tcW w:w="2126" w:type="dxa"/>
          </w:tcPr>
          <w:p w14:paraId="69AD41CD" w14:textId="77777777" w:rsidR="006B30BE" w:rsidRPr="006B30BE" w:rsidRDefault="006B30BE" w:rsidP="00CE0AF6">
            <w:pPr>
              <w:rPr>
                <w:rFonts w:ascii="Avenir Next" w:hAnsi="Avenir Next"/>
                <w:sz w:val="20"/>
                <w:szCs w:val="20"/>
              </w:rPr>
            </w:pPr>
          </w:p>
        </w:tc>
        <w:tc>
          <w:tcPr>
            <w:tcW w:w="4360" w:type="dxa"/>
          </w:tcPr>
          <w:p w14:paraId="36C23575" w14:textId="77777777" w:rsidR="006B30BE" w:rsidRPr="006B30BE" w:rsidRDefault="006B30BE" w:rsidP="00CE0AF6">
            <w:pPr>
              <w:rPr>
                <w:rFonts w:ascii="Avenir Next" w:hAnsi="Avenir Next"/>
                <w:sz w:val="20"/>
                <w:szCs w:val="20"/>
              </w:rPr>
            </w:pPr>
          </w:p>
        </w:tc>
        <w:tc>
          <w:tcPr>
            <w:tcW w:w="3578" w:type="dxa"/>
          </w:tcPr>
          <w:p w14:paraId="53899721" w14:textId="77777777" w:rsidR="006B30BE" w:rsidRPr="006B30BE" w:rsidRDefault="006B30BE" w:rsidP="00CE0AF6">
            <w:pPr>
              <w:rPr>
                <w:rFonts w:ascii="Avenir Next" w:hAnsi="Avenir Next"/>
                <w:sz w:val="20"/>
                <w:szCs w:val="20"/>
              </w:rPr>
            </w:pPr>
          </w:p>
        </w:tc>
      </w:tr>
      <w:tr w:rsidR="006B30BE" w:rsidRPr="006A1225" w14:paraId="26A7A129" w14:textId="77777777" w:rsidTr="006B30BE">
        <w:tc>
          <w:tcPr>
            <w:tcW w:w="4248" w:type="dxa"/>
          </w:tcPr>
          <w:p w14:paraId="6A5058CA"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Is access to other grievance mechanisms restricted?</w:t>
            </w:r>
          </w:p>
          <w:p w14:paraId="276B1B45" w14:textId="77777777" w:rsidR="006B30BE" w:rsidRPr="006B30BE" w:rsidRDefault="006B30BE" w:rsidP="00CE0AF6">
            <w:pPr>
              <w:pStyle w:val="ListParagraph"/>
              <w:rPr>
                <w:rFonts w:ascii="Avenir Next" w:hAnsi="Avenir Next"/>
                <w:sz w:val="20"/>
                <w:szCs w:val="20"/>
              </w:rPr>
            </w:pPr>
          </w:p>
        </w:tc>
        <w:tc>
          <w:tcPr>
            <w:tcW w:w="2126" w:type="dxa"/>
          </w:tcPr>
          <w:p w14:paraId="5301F065" w14:textId="77777777" w:rsidR="006B30BE" w:rsidRPr="006B30BE" w:rsidRDefault="006B30BE" w:rsidP="00CE0AF6">
            <w:pPr>
              <w:rPr>
                <w:rFonts w:ascii="Avenir Next" w:hAnsi="Avenir Next"/>
                <w:sz w:val="20"/>
                <w:szCs w:val="20"/>
              </w:rPr>
            </w:pPr>
          </w:p>
        </w:tc>
        <w:tc>
          <w:tcPr>
            <w:tcW w:w="4360" w:type="dxa"/>
          </w:tcPr>
          <w:p w14:paraId="0C7033BA" w14:textId="77777777" w:rsidR="006B30BE" w:rsidRPr="006B30BE" w:rsidRDefault="006B30BE" w:rsidP="00CE0AF6">
            <w:pPr>
              <w:rPr>
                <w:rFonts w:ascii="Avenir Next" w:hAnsi="Avenir Next"/>
                <w:sz w:val="20"/>
                <w:szCs w:val="20"/>
              </w:rPr>
            </w:pPr>
          </w:p>
        </w:tc>
        <w:tc>
          <w:tcPr>
            <w:tcW w:w="3578" w:type="dxa"/>
          </w:tcPr>
          <w:p w14:paraId="477D22AA" w14:textId="77777777" w:rsidR="006B30BE" w:rsidRPr="006B30BE" w:rsidRDefault="006B30BE" w:rsidP="00CE0AF6">
            <w:pPr>
              <w:rPr>
                <w:rFonts w:ascii="Avenir Next" w:hAnsi="Avenir Next"/>
                <w:sz w:val="20"/>
                <w:szCs w:val="20"/>
              </w:rPr>
            </w:pPr>
          </w:p>
        </w:tc>
      </w:tr>
      <w:tr w:rsidR="006B30BE" w:rsidRPr="006A1225" w14:paraId="7B242526" w14:textId="77777777" w:rsidTr="006B30BE">
        <w:tc>
          <w:tcPr>
            <w:tcW w:w="14312" w:type="dxa"/>
            <w:gridSpan w:val="4"/>
            <w:shd w:val="clear" w:color="auto" w:fill="68807A"/>
            <w:vAlign w:val="center"/>
          </w:tcPr>
          <w:p w14:paraId="07DE6DBA" w14:textId="77777777" w:rsidR="006B30BE" w:rsidRPr="006B30BE" w:rsidRDefault="006B30BE" w:rsidP="006B30BE">
            <w:pPr>
              <w:rPr>
                <w:rFonts w:ascii="Avenir Next Ultra Light" w:hAnsi="Avenir Next Ultra Light"/>
                <w:b/>
                <w:bCs/>
                <w:color w:val="FFFFFF" w:themeColor="background1"/>
              </w:rPr>
            </w:pPr>
            <w:r w:rsidRPr="006B30BE">
              <w:rPr>
                <w:rFonts w:ascii="Avenir Next Ultra Light" w:hAnsi="Avenir Next Ultra Light"/>
                <w:b/>
                <w:bCs/>
                <w:color w:val="FFFFFF" w:themeColor="background1"/>
              </w:rPr>
              <w:t>Enabling continuous learning</w:t>
            </w:r>
          </w:p>
        </w:tc>
      </w:tr>
      <w:tr w:rsidR="006B30BE" w:rsidRPr="006A1225" w14:paraId="4CEC0735" w14:textId="77777777" w:rsidTr="006B30BE">
        <w:tc>
          <w:tcPr>
            <w:tcW w:w="4248" w:type="dxa"/>
            <w:shd w:val="clear" w:color="auto" w:fill="BBC7A7"/>
            <w:vAlign w:val="center"/>
          </w:tcPr>
          <w:p w14:paraId="34B225EE"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Questions</w:t>
            </w:r>
          </w:p>
        </w:tc>
        <w:tc>
          <w:tcPr>
            <w:tcW w:w="2126" w:type="dxa"/>
            <w:shd w:val="clear" w:color="auto" w:fill="BBC7A7"/>
            <w:vAlign w:val="center"/>
          </w:tcPr>
          <w:p w14:paraId="3165F05B"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Scoring</w:t>
            </w:r>
          </w:p>
          <w:p w14:paraId="2EC2A52E"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(Yes/No/Partially)</w:t>
            </w:r>
          </w:p>
        </w:tc>
        <w:tc>
          <w:tcPr>
            <w:tcW w:w="4360" w:type="dxa"/>
            <w:shd w:val="clear" w:color="auto" w:fill="BBC7A7"/>
            <w:vAlign w:val="center"/>
          </w:tcPr>
          <w:p w14:paraId="7C47B28B"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Findings</w:t>
            </w:r>
          </w:p>
        </w:tc>
        <w:tc>
          <w:tcPr>
            <w:tcW w:w="3578" w:type="dxa"/>
            <w:shd w:val="clear" w:color="auto" w:fill="BBC7A7"/>
            <w:vAlign w:val="center"/>
          </w:tcPr>
          <w:p w14:paraId="659980B8" w14:textId="77777777" w:rsidR="006B30BE" w:rsidRPr="006B30BE" w:rsidRDefault="006B30BE" w:rsidP="006B30BE">
            <w:pPr>
              <w:jc w:val="center"/>
              <w:rPr>
                <w:rFonts w:ascii="Bodoni 72 Book" w:hAnsi="Bodoni 72 Book"/>
                <w:sz w:val="22"/>
                <w:szCs w:val="22"/>
              </w:rPr>
            </w:pPr>
            <w:r w:rsidRPr="006B30BE">
              <w:rPr>
                <w:rFonts w:ascii="Bodoni 72 Book" w:hAnsi="Bodoni 72 Book"/>
                <w:sz w:val="22"/>
                <w:szCs w:val="22"/>
              </w:rPr>
              <w:t>Means of verification</w:t>
            </w:r>
          </w:p>
        </w:tc>
      </w:tr>
      <w:tr w:rsidR="006B30BE" w:rsidRPr="006A1225" w14:paraId="0FC8216F" w14:textId="77777777" w:rsidTr="006B30BE">
        <w:tc>
          <w:tcPr>
            <w:tcW w:w="4248" w:type="dxa"/>
          </w:tcPr>
          <w:p w14:paraId="15DD5978" w14:textId="77777777" w:rsidR="006B30BE" w:rsidRPr="006B30BE" w:rsidRDefault="006B30BE" w:rsidP="00CE0AF6">
            <w:pPr>
              <w:rPr>
                <w:rFonts w:ascii="Avenir Next" w:hAnsi="Avenir Next"/>
                <w:sz w:val="20"/>
                <w:szCs w:val="20"/>
              </w:rPr>
            </w:pPr>
          </w:p>
          <w:p w14:paraId="67BE0292" w14:textId="77777777" w:rsidR="006B30BE" w:rsidRPr="006B30BE" w:rsidRDefault="006B30BE" w:rsidP="006B30BE">
            <w:pPr>
              <w:pStyle w:val="ListParagraph"/>
              <w:numPr>
                <w:ilvl w:val="0"/>
                <w:numId w:val="16"/>
              </w:numPr>
              <w:rPr>
                <w:rFonts w:ascii="Avenir Next" w:hAnsi="Avenir Next"/>
                <w:sz w:val="20"/>
                <w:szCs w:val="20"/>
              </w:rPr>
            </w:pPr>
            <w:r w:rsidRPr="006B30BE">
              <w:rPr>
                <w:rFonts w:ascii="Avenir Next" w:hAnsi="Avenir Next"/>
                <w:sz w:val="20"/>
                <w:szCs w:val="20"/>
              </w:rPr>
              <w:t>If data is collected, is this data used to make policy changes to minimize similar complaints in the future?</w:t>
            </w:r>
          </w:p>
          <w:p w14:paraId="7F757ACB" w14:textId="77777777" w:rsidR="006B30BE" w:rsidRPr="006B30BE" w:rsidRDefault="006B30BE" w:rsidP="00CE0AF6">
            <w:pPr>
              <w:rPr>
                <w:rFonts w:ascii="Avenir Next" w:hAnsi="Avenir Next"/>
                <w:sz w:val="20"/>
                <w:szCs w:val="20"/>
              </w:rPr>
            </w:pPr>
          </w:p>
        </w:tc>
        <w:tc>
          <w:tcPr>
            <w:tcW w:w="2126" w:type="dxa"/>
          </w:tcPr>
          <w:p w14:paraId="58F4C331" w14:textId="77777777" w:rsidR="006B30BE" w:rsidRPr="006B30BE" w:rsidRDefault="006B30BE" w:rsidP="00CE0AF6">
            <w:pPr>
              <w:rPr>
                <w:rFonts w:ascii="Avenir Next" w:hAnsi="Avenir Next"/>
                <w:sz w:val="20"/>
                <w:szCs w:val="20"/>
              </w:rPr>
            </w:pPr>
          </w:p>
        </w:tc>
        <w:tc>
          <w:tcPr>
            <w:tcW w:w="4360" w:type="dxa"/>
          </w:tcPr>
          <w:p w14:paraId="40F11BF9" w14:textId="77777777" w:rsidR="006B30BE" w:rsidRPr="006B30BE" w:rsidRDefault="006B30BE" w:rsidP="00CE0AF6">
            <w:pPr>
              <w:rPr>
                <w:rFonts w:ascii="Avenir Next" w:hAnsi="Avenir Next"/>
                <w:sz w:val="20"/>
                <w:szCs w:val="20"/>
              </w:rPr>
            </w:pPr>
          </w:p>
        </w:tc>
        <w:tc>
          <w:tcPr>
            <w:tcW w:w="3578" w:type="dxa"/>
          </w:tcPr>
          <w:p w14:paraId="7CCAEBE1" w14:textId="77777777" w:rsidR="006B30BE" w:rsidRPr="006B30BE" w:rsidRDefault="006B30BE" w:rsidP="00CE0AF6">
            <w:pPr>
              <w:rPr>
                <w:rFonts w:ascii="Avenir Next" w:hAnsi="Avenir Next"/>
                <w:sz w:val="20"/>
                <w:szCs w:val="20"/>
              </w:rPr>
            </w:pPr>
          </w:p>
        </w:tc>
      </w:tr>
    </w:tbl>
    <w:p w14:paraId="0B59F08D" w14:textId="77777777" w:rsidR="001F40F7" w:rsidRDefault="001F40F7">
      <w:pPr>
        <w:spacing w:before="120" w:after="120" w:line="336" w:lineRule="auto"/>
        <w:rPr>
          <w:rFonts w:ascii="IBM Plex Sans" w:eastAsia="IBM Plex Sans" w:hAnsi="IBM Plex Sans" w:cs="IBM Plex Sans"/>
          <w:color w:val="000000"/>
        </w:rPr>
        <w:sectPr w:rsidR="001F40F7" w:rsidSect="003952D9">
          <w:pgSz w:w="16845" w:h="11910" w:orient="landscape"/>
          <w:pgMar w:top="1440" w:right="1440" w:bottom="1440" w:left="1440" w:header="720" w:footer="720" w:gutter="0"/>
          <w:cols w:space="720"/>
          <w:docGrid w:linePitch="326"/>
        </w:sectPr>
      </w:pPr>
    </w:p>
    <w:p w14:paraId="664B8FD1" w14:textId="5FFE1776" w:rsidR="00017F8A" w:rsidRPr="001F40F7" w:rsidRDefault="001F40F7">
      <w:pPr>
        <w:spacing w:before="120" w:after="120" w:line="336" w:lineRule="auto"/>
        <w:rPr>
          <w:rFonts w:ascii="Bodoni 72 Book" w:hAnsi="Bodoni 72 Book"/>
        </w:rPr>
      </w:pPr>
      <w:r>
        <w:rPr>
          <w:rFonts w:ascii="Bodoni 72 Book" w:eastAsia="Montserrat" w:hAnsi="Bodoni 72 Book" w:cs="Montserrat"/>
          <w:color w:val="68807A"/>
          <w:sz w:val="64"/>
          <w:szCs w:val="64"/>
        </w:rPr>
        <w:lastRenderedPageBreak/>
        <w:t xml:space="preserve">Section B: Template Report for the Qualitative Assessment of the GRM </w:t>
      </w:r>
    </w:p>
    <w:p w14:paraId="7BD9401B" w14:textId="77777777" w:rsidR="00017F8A" w:rsidRDefault="00017F8A">
      <w:pPr>
        <w:pBdr>
          <w:bottom w:val="single" w:sz="6" w:space="0" w:color="68807A"/>
        </w:pBdr>
        <w:spacing w:before="120" w:after="120" w:line="0" w:lineRule="auto"/>
      </w:pPr>
    </w:p>
    <w:p w14:paraId="526227A9" w14:textId="0EF5E7E1" w:rsidR="001F40F7" w:rsidRPr="001F40F7" w:rsidRDefault="001F40F7" w:rsidP="001F40F7">
      <w:pPr>
        <w:spacing w:before="120" w:after="120" w:line="336" w:lineRule="auto"/>
        <w:rPr>
          <w:rFonts w:ascii="Avenir Next" w:eastAsia="IBM Plex Sans" w:hAnsi="Avenir Next" w:cs="IBM Plex Sans"/>
          <w:color w:val="000000"/>
          <w:sz w:val="20"/>
          <w:szCs w:val="20"/>
        </w:rPr>
      </w:pPr>
      <w:r w:rsidRPr="001F40F7">
        <w:rPr>
          <w:rFonts w:ascii="Avenir Next" w:eastAsia="IBM Plex Sans" w:hAnsi="Avenir Next" w:cs="IBM Plex Sans"/>
          <w:color w:val="000000"/>
          <w:sz w:val="20"/>
          <w:szCs w:val="20"/>
        </w:rPr>
        <w:t xml:space="preserve">To complete this template report, users (with the support of a selected expert international organization) should consider the answers provided in ‘Section A’ above. In completing this template, users will need to consider the scope of each column as follows: </w:t>
      </w:r>
    </w:p>
    <w:p w14:paraId="5126FFF2" w14:textId="77777777" w:rsidR="001F40F7" w:rsidRPr="001F40F7" w:rsidRDefault="001F40F7" w:rsidP="001F40F7">
      <w:pPr>
        <w:pStyle w:val="ListParagraph"/>
        <w:numPr>
          <w:ilvl w:val="0"/>
          <w:numId w:val="17"/>
        </w:numPr>
        <w:spacing w:before="120" w:after="120" w:line="336" w:lineRule="auto"/>
        <w:rPr>
          <w:rFonts w:ascii="Avenir Next" w:eastAsia="IBM Plex Sans" w:hAnsi="Avenir Next" w:cs="IBM Plex Sans"/>
          <w:color w:val="000000"/>
          <w:sz w:val="20"/>
          <w:szCs w:val="20"/>
        </w:rPr>
      </w:pPr>
      <w:r w:rsidRPr="001F40F7">
        <w:rPr>
          <w:rFonts w:ascii="Avenir Next" w:eastAsia="IBM Plex Sans" w:hAnsi="Avenir Next" w:cs="IBM Plex Sans"/>
          <w:color w:val="000000"/>
          <w:sz w:val="20"/>
          <w:szCs w:val="20"/>
        </w:rPr>
        <w:t>Column 2 (Shortcomings or Gaps Identified): for users to identify and summarize the key shortcomings or gaps (issues of non-conformance) identified in correlation to each of the GRM principles, that is, when the scoring identified was ‘Partially’ or ‘No’ in ‘Section A’. There is also an opportunity to identify other/general shortcomings.</w:t>
      </w:r>
    </w:p>
    <w:p w14:paraId="587D3D53" w14:textId="1C71B484" w:rsidR="00017F8A" w:rsidRDefault="001F40F7" w:rsidP="001F40F7">
      <w:pPr>
        <w:pStyle w:val="ListParagraph"/>
        <w:numPr>
          <w:ilvl w:val="0"/>
          <w:numId w:val="17"/>
        </w:numPr>
        <w:spacing w:before="120" w:after="120" w:line="336" w:lineRule="auto"/>
        <w:rPr>
          <w:rFonts w:ascii="Avenir Next" w:eastAsia="IBM Plex Sans" w:hAnsi="Avenir Next" w:cs="IBM Plex Sans"/>
          <w:color w:val="000000"/>
          <w:sz w:val="20"/>
          <w:szCs w:val="20"/>
        </w:rPr>
      </w:pPr>
      <w:r w:rsidRPr="001F40F7">
        <w:rPr>
          <w:rFonts w:ascii="Avenir Next" w:eastAsia="IBM Plex Sans" w:hAnsi="Avenir Next" w:cs="IBM Plex Sans"/>
          <w:color w:val="000000"/>
          <w:sz w:val="20"/>
          <w:szCs w:val="20"/>
        </w:rPr>
        <w:t xml:space="preserve">Column 3 (Recommendations): for users to identify actions/recommendations to be taken to address these key shortcomings or gaps. Zoom in on the company's sustainability performance within the reporting period, including progress toward goals and targets. </w:t>
      </w:r>
    </w:p>
    <w:tbl>
      <w:tblPr>
        <w:tblStyle w:val="TableGrid"/>
        <w:tblW w:w="5000" w:type="pct"/>
        <w:tblBorders>
          <w:top w:val="single" w:sz="6" w:space="0" w:color="68807A"/>
          <w:left w:val="single" w:sz="6" w:space="0" w:color="68807A"/>
          <w:bottom w:val="single" w:sz="6" w:space="0" w:color="68807A"/>
          <w:right w:val="single" w:sz="6" w:space="0" w:color="68807A"/>
          <w:insideH w:val="single" w:sz="6" w:space="0" w:color="68807A"/>
          <w:insideV w:val="single" w:sz="6" w:space="0" w:color="68807A"/>
        </w:tblBorders>
        <w:tblLook w:val="04A0" w:firstRow="1" w:lastRow="0" w:firstColumn="1" w:lastColumn="0" w:noHBand="0" w:noVBand="1"/>
      </w:tblPr>
      <w:tblGrid>
        <w:gridCol w:w="2158"/>
        <w:gridCol w:w="6197"/>
        <w:gridCol w:w="5826"/>
      </w:tblGrid>
      <w:tr w:rsidR="001F40F7" w:rsidRPr="006A1225" w14:paraId="380BDA7E" w14:textId="77777777" w:rsidTr="001F40F7">
        <w:tc>
          <w:tcPr>
            <w:tcW w:w="761" w:type="pct"/>
            <w:shd w:val="clear" w:color="auto" w:fill="68807A"/>
            <w:vAlign w:val="center"/>
          </w:tcPr>
          <w:p w14:paraId="3002141F" w14:textId="77777777" w:rsidR="001F40F7" w:rsidRPr="001F40F7" w:rsidRDefault="001F40F7" w:rsidP="001F40F7">
            <w:pPr>
              <w:jc w:val="center"/>
              <w:rPr>
                <w:rFonts w:ascii="Bodoni 72 Book" w:hAnsi="Bodoni 72 Book"/>
                <w:color w:val="FFFFFF" w:themeColor="background1"/>
                <w:sz w:val="22"/>
                <w:szCs w:val="22"/>
              </w:rPr>
            </w:pPr>
            <w:r w:rsidRPr="001F40F7">
              <w:rPr>
                <w:rFonts w:ascii="Bodoni 72 Book" w:hAnsi="Bodoni 72 Book"/>
                <w:color w:val="FFFFFF" w:themeColor="background1"/>
                <w:sz w:val="22"/>
                <w:szCs w:val="22"/>
              </w:rPr>
              <w:t>GRM principles</w:t>
            </w:r>
          </w:p>
        </w:tc>
        <w:tc>
          <w:tcPr>
            <w:tcW w:w="2185" w:type="pct"/>
            <w:shd w:val="clear" w:color="auto" w:fill="68807A"/>
            <w:vAlign w:val="center"/>
          </w:tcPr>
          <w:p w14:paraId="5ACAC712" w14:textId="77777777" w:rsidR="001F40F7" w:rsidRPr="001F40F7" w:rsidRDefault="001F40F7" w:rsidP="001F40F7">
            <w:pPr>
              <w:jc w:val="center"/>
              <w:rPr>
                <w:rFonts w:ascii="Bodoni 72 Book" w:hAnsi="Bodoni 72 Book"/>
                <w:color w:val="FFFFFF" w:themeColor="background1"/>
                <w:sz w:val="22"/>
                <w:szCs w:val="22"/>
              </w:rPr>
            </w:pPr>
            <w:r w:rsidRPr="001F40F7">
              <w:rPr>
                <w:rFonts w:ascii="Bodoni 72 Book" w:hAnsi="Bodoni 72 Book"/>
                <w:color w:val="FFFFFF" w:themeColor="background1"/>
                <w:sz w:val="22"/>
                <w:szCs w:val="22"/>
              </w:rPr>
              <w:t>Shortcomings/Gaps Identified</w:t>
            </w:r>
          </w:p>
        </w:tc>
        <w:tc>
          <w:tcPr>
            <w:tcW w:w="2054" w:type="pct"/>
            <w:shd w:val="clear" w:color="auto" w:fill="68807A"/>
            <w:vAlign w:val="center"/>
          </w:tcPr>
          <w:p w14:paraId="3043E744" w14:textId="30EA0F37" w:rsidR="001F40F7" w:rsidRPr="001F40F7" w:rsidRDefault="001F40F7" w:rsidP="001F40F7">
            <w:pPr>
              <w:jc w:val="center"/>
              <w:rPr>
                <w:rFonts w:ascii="Bodoni 72 Book" w:hAnsi="Bodoni 72 Book"/>
                <w:color w:val="FFFFFF" w:themeColor="background1"/>
                <w:sz w:val="22"/>
                <w:szCs w:val="22"/>
              </w:rPr>
            </w:pPr>
            <w:r w:rsidRPr="001F40F7">
              <w:rPr>
                <w:rFonts w:ascii="Bodoni 72 Book" w:hAnsi="Bodoni 72 Book"/>
                <w:color w:val="FFFFFF" w:themeColor="background1"/>
                <w:sz w:val="22"/>
                <w:szCs w:val="22"/>
              </w:rPr>
              <w:t>Recommendations</w:t>
            </w:r>
          </w:p>
        </w:tc>
      </w:tr>
      <w:tr w:rsidR="001F40F7" w:rsidRPr="006A1225" w14:paraId="57F2FDF8" w14:textId="77777777" w:rsidTr="001F40F7">
        <w:tc>
          <w:tcPr>
            <w:tcW w:w="761" w:type="pct"/>
            <w:shd w:val="clear" w:color="auto" w:fill="BBC7A7"/>
            <w:vAlign w:val="center"/>
          </w:tcPr>
          <w:p w14:paraId="39C9F5DB" w14:textId="77777777" w:rsidR="001F40F7" w:rsidRPr="001F40F7" w:rsidRDefault="001F40F7" w:rsidP="001F40F7">
            <w:pPr>
              <w:rPr>
                <w:rFonts w:ascii="Avenir Next" w:hAnsi="Avenir Next"/>
                <w:sz w:val="20"/>
                <w:szCs w:val="20"/>
              </w:rPr>
            </w:pPr>
            <w:r w:rsidRPr="001F40F7">
              <w:rPr>
                <w:rFonts w:ascii="Avenir Next" w:hAnsi="Avenir Next"/>
                <w:sz w:val="20"/>
                <w:szCs w:val="20"/>
              </w:rPr>
              <w:t>Legitimacy</w:t>
            </w:r>
          </w:p>
        </w:tc>
        <w:tc>
          <w:tcPr>
            <w:tcW w:w="2185" w:type="pct"/>
          </w:tcPr>
          <w:p w14:paraId="13E9A37C" w14:textId="77777777" w:rsidR="001F40F7" w:rsidRPr="006A1225" w:rsidRDefault="001F40F7" w:rsidP="00CE0AF6">
            <w:pPr>
              <w:rPr>
                <w:szCs w:val="22"/>
              </w:rPr>
            </w:pPr>
          </w:p>
        </w:tc>
        <w:tc>
          <w:tcPr>
            <w:tcW w:w="2054" w:type="pct"/>
          </w:tcPr>
          <w:p w14:paraId="0531861F" w14:textId="77777777" w:rsidR="001F40F7" w:rsidRPr="006A1225" w:rsidRDefault="001F40F7" w:rsidP="00CE0AF6">
            <w:pPr>
              <w:spacing w:before="40" w:after="40"/>
              <w:rPr>
                <w:rFonts w:cs="Arial"/>
                <w:szCs w:val="22"/>
              </w:rPr>
            </w:pPr>
          </w:p>
        </w:tc>
      </w:tr>
      <w:tr w:rsidR="001F40F7" w:rsidRPr="006A1225" w14:paraId="1C106BD4" w14:textId="77777777" w:rsidTr="001F40F7">
        <w:trPr>
          <w:trHeight w:val="372"/>
        </w:trPr>
        <w:tc>
          <w:tcPr>
            <w:tcW w:w="761" w:type="pct"/>
            <w:shd w:val="clear" w:color="auto" w:fill="BBC7A7"/>
            <w:vAlign w:val="center"/>
          </w:tcPr>
          <w:p w14:paraId="20060177" w14:textId="77777777" w:rsidR="001F40F7" w:rsidRPr="001F40F7" w:rsidRDefault="001F40F7" w:rsidP="001F40F7">
            <w:pPr>
              <w:rPr>
                <w:rFonts w:ascii="Avenir Next" w:hAnsi="Avenir Next"/>
                <w:sz w:val="20"/>
                <w:szCs w:val="20"/>
              </w:rPr>
            </w:pPr>
            <w:r w:rsidRPr="001F40F7">
              <w:rPr>
                <w:rFonts w:ascii="Avenir Next" w:hAnsi="Avenir Next"/>
                <w:sz w:val="20"/>
                <w:szCs w:val="20"/>
              </w:rPr>
              <w:t>Accessibility</w:t>
            </w:r>
          </w:p>
        </w:tc>
        <w:tc>
          <w:tcPr>
            <w:tcW w:w="2185" w:type="pct"/>
          </w:tcPr>
          <w:p w14:paraId="2172FB10" w14:textId="77777777" w:rsidR="001F40F7" w:rsidRPr="006A1225" w:rsidRDefault="001F40F7" w:rsidP="00CE0AF6">
            <w:pPr>
              <w:rPr>
                <w:szCs w:val="22"/>
              </w:rPr>
            </w:pPr>
          </w:p>
        </w:tc>
        <w:tc>
          <w:tcPr>
            <w:tcW w:w="2054" w:type="pct"/>
          </w:tcPr>
          <w:p w14:paraId="53165D91" w14:textId="77777777" w:rsidR="001F40F7" w:rsidRPr="006A1225" w:rsidRDefault="001F40F7" w:rsidP="00CE0AF6">
            <w:pPr>
              <w:rPr>
                <w:szCs w:val="22"/>
              </w:rPr>
            </w:pPr>
          </w:p>
        </w:tc>
      </w:tr>
      <w:tr w:rsidR="001F40F7" w:rsidRPr="006A1225" w14:paraId="63D172F1" w14:textId="77777777" w:rsidTr="001F40F7">
        <w:trPr>
          <w:trHeight w:val="345"/>
        </w:trPr>
        <w:tc>
          <w:tcPr>
            <w:tcW w:w="761" w:type="pct"/>
            <w:shd w:val="clear" w:color="auto" w:fill="BBC7A7"/>
            <w:vAlign w:val="center"/>
          </w:tcPr>
          <w:p w14:paraId="3D0569ED" w14:textId="77777777" w:rsidR="001F40F7" w:rsidRPr="001F40F7" w:rsidRDefault="001F40F7" w:rsidP="001F40F7">
            <w:pPr>
              <w:rPr>
                <w:rFonts w:ascii="Avenir Next" w:hAnsi="Avenir Next"/>
                <w:sz w:val="20"/>
                <w:szCs w:val="20"/>
              </w:rPr>
            </w:pPr>
            <w:r w:rsidRPr="001F40F7">
              <w:rPr>
                <w:rFonts w:ascii="Avenir Next" w:hAnsi="Avenir Next"/>
                <w:sz w:val="20"/>
                <w:szCs w:val="20"/>
              </w:rPr>
              <w:t>Predictability</w:t>
            </w:r>
          </w:p>
        </w:tc>
        <w:tc>
          <w:tcPr>
            <w:tcW w:w="2185" w:type="pct"/>
          </w:tcPr>
          <w:p w14:paraId="13BD6EA2" w14:textId="77777777" w:rsidR="001F40F7" w:rsidRPr="006A1225" w:rsidRDefault="001F40F7" w:rsidP="00CE0AF6">
            <w:pPr>
              <w:rPr>
                <w:szCs w:val="22"/>
              </w:rPr>
            </w:pPr>
          </w:p>
        </w:tc>
        <w:tc>
          <w:tcPr>
            <w:tcW w:w="2054" w:type="pct"/>
          </w:tcPr>
          <w:p w14:paraId="654A05E8" w14:textId="77777777" w:rsidR="001F40F7" w:rsidRPr="006A1225" w:rsidRDefault="001F40F7" w:rsidP="00CE0AF6">
            <w:pPr>
              <w:rPr>
                <w:szCs w:val="22"/>
              </w:rPr>
            </w:pPr>
          </w:p>
        </w:tc>
      </w:tr>
      <w:tr w:rsidR="001F40F7" w:rsidRPr="006A1225" w14:paraId="0F7067D4" w14:textId="77777777" w:rsidTr="001F40F7">
        <w:tc>
          <w:tcPr>
            <w:tcW w:w="761" w:type="pct"/>
            <w:shd w:val="clear" w:color="auto" w:fill="BBC7A7"/>
            <w:vAlign w:val="center"/>
          </w:tcPr>
          <w:p w14:paraId="75336356" w14:textId="77777777" w:rsidR="001F40F7" w:rsidRPr="001F40F7" w:rsidRDefault="001F40F7" w:rsidP="001F40F7">
            <w:pPr>
              <w:rPr>
                <w:rFonts w:ascii="Avenir Next" w:hAnsi="Avenir Next"/>
                <w:sz w:val="20"/>
                <w:szCs w:val="20"/>
              </w:rPr>
            </w:pPr>
            <w:r w:rsidRPr="001F40F7">
              <w:rPr>
                <w:rFonts w:ascii="Avenir Next" w:hAnsi="Avenir Next"/>
                <w:sz w:val="20"/>
                <w:szCs w:val="20"/>
              </w:rPr>
              <w:t>Equitable</w:t>
            </w:r>
          </w:p>
        </w:tc>
        <w:tc>
          <w:tcPr>
            <w:tcW w:w="2185" w:type="pct"/>
          </w:tcPr>
          <w:p w14:paraId="4F76C7A3" w14:textId="77777777" w:rsidR="001F40F7" w:rsidRPr="006A1225" w:rsidRDefault="001F40F7" w:rsidP="00CE0AF6">
            <w:pPr>
              <w:rPr>
                <w:szCs w:val="22"/>
              </w:rPr>
            </w:pPr>
          </w:p>
        </w:tc>
        <w:tc>
          <w:tcPr>
            <w:tcW w:w="2054" w:type="pct"/>
          </w:tcPr>
          <w:p w14:paraId="1AD5998D" w14:textId="77777777" w:rsidR="001F40F7" w:rsidRPr="006A1225" w:rsidRDefault="001F40F7" w:rsidP="00CE0AF6">
            <w:pPr>
              <w:rPr>
                <w:szCs w:val="22"/>
              </w:rPr>
            </w:pPr>
          </w:p>
        </w:tc>
      </w:tr>
      <w:tr w:rsidR="001F40F7" w:rsidRPr="006A1225" w14:paraId="27CC969D" w14:textId="77777777" w:rsidTr="001F40F7">
        <w:trPr>
          <w:trHeight w:val="309"/>
        </w:trPr>
        <w:tc>
          <w:tcPr>
            <w:tcW w:w="761" w:type="pct"/>
            <w:shd w:val="clear" w:color="auto" w:fill="BBC7A7"/>
            <w:vAlign w:val="center"/>
          </w:tcPr>
          <w:p w14:paraId="664BECEE" w14:textId="77777777" w:rsidR="001F40F7" w:rsidRPr="001F40F7" w:rsidRDefault="001F40F7" w:rsidP="001F40F7">
            <w:pPr>
              <w:rPr>
                <w:rFonts w:ascii="Avenir Next" w:hAnsi="Avenir Next"/>
                <w:sz w:val="20"/>
                <w:szCs w:val="20"/>
              </w:rPr>
            </w:pPr>
            <w:r w:rsidRPr="001F40F7">
              <w:rPr>
                <w:rFonts w:ascii="Avenir Next" w:hAnsi="Avenir Next"/>
                <w:sz w:val="20"/>
                <w:szCs w:val="20"/>
              </w:rPr>
              <w:t>Rights compatible</w:t>
            </w:r>
          </w:p>
        </w:tc>
        <w:tc>
          <w:tcPr>
            <w:tcW w:w="2185" w:type="pct"/>
          </w:tcPr>
          <w:p w14:paraId="09CD5A27" w14:textId="77777777" w:rsidR="001F40F7" w:rsidRPr="006A1225" w:rsidRDefault="001F40F7" w:rsidP="00CE0AF6">
            <w:pPr>
              <w:rPr>
                <w:szCs w:val="22"/>
              </w:rPr>
            </w:pPr>
          </w:p>
        </w:tc>
        <w:tc>
          <w:tcPr>
            <w:tcW w:w="2054" w:type="pct"/>
          </w:tcPr>
          <w:p w14:paraId="26084F07" w14:textId="77777777" w:rsidR="001F40F7" w:rsidRPr="006A1225" w:rsidRDefault="001F40F7" w:rsidP="00CE0AF6">
            <w:pPr>
              <w:rPr>
                <w:szCs w:val="22"/>
              </w:rPr>
            </w:pPr>
          </w:p>
        </w:tc>
      </w:tr>
      <w:tr w:rsidR="001F40F7" w:rsidRPr="006A1225" w14:paraId="223E4132" w14:textId="77777777" w:rsidTr="001F40F7">
        <w:tc>
          <w:tcPr>
            <w:tcW w:w="761" w:type="pct"/>
            <w:shd w:val="clear" w:color="auto" w:fill="BBC7A7"/>
            <w:vAlign w:val="center"/>
          </w:tcPr>
          <w:p w14:paraId="6EBABB0E" w14:textId="77777777" w:rsidR="001F40F7" w:rsidRPr="001F40F7" w:rsidRDefault="001F40F7" w:rsidP="001F40F7">
            <w:pPr>
              <w:rPr>
                <w:rFonts w:ascii="Avenir Next" w:hAnsi="Avenir Next"/>
                <w:sz w:val="20"/>
                <w:szCs w:val="20"/>
              </w:rPr>
            </w:pPr>
            <w:r w:rsidRPr="001F40F7">
              <w:rPr>
                <w:rFonts w:ascii="Avenir Next" w:hAnsi="Avenir Next"/>
                <w:sz w:val="20"/>
                <w:szCs w:val="20"/>
              </w:rPr>
              <w:t>Enabling continuous learning</w:t>
            </w:r>
          </w:p>
        </w:tc>
        <w:tc>
          <w:tcPr>
            <w:tcW w:w="2185" w:type="pct"/>
          </w:tcPr>
          <w:p w14:paraId="0CA706DE" w14:textId="77777777" w:rsidR="001F40F7" w:rsidRPr="006A1225" w:rsidRDefault="001F40F7" w:rsidP="00CE0AF6">
            <w:pPr>
              <w:rPr>
                <w:szCs w:val="22"/>
              </w:rPr>
            </w:pPr>
          </w:p>
        </w:tc>
        <w:tc>
          <w:tcPr>
            <w:tcW w:w="2054" w:type="pct"/>
          </w:tcPr>
          <w:p w14:paraId="7EBF3302" w14:textId="77777777" w:rsidR="001F40F7" w:rsidRPr="006A1225" w:rsidRDefault="001F40F7" w:rsidP="00CE0AF6">
            <w:pPr>
              <w:rPr>
                <w:szCs w:val="22"/>
              </w:rPr>
            </w:pPr>
          </w:p>
          <w:p w14:paraId="0814D50E" w14:textId="77777777" w:rsidR="001F40F7" w:rsidRPr="006A1225" w:rsidRDefault="001F40F7" w:rsidP="00CE0AF6">
            <w:pPr>
              <w:rPr>
                <w:szCs w:val="22"/>
              </w:rPr>
            </w:pPr>
          </w:p>
        </w:tc>
      </w:tr>
      <w:tr w:rsidR="001F40F7" w:rsidRPr="006A1225" w14:paraId="5C08DBF0" w14:textId="77777777" w:rsidTr="001F40F7">
        <w:trPr>
          <w:trHeight w:val="282"/>
        </w:trPr>
        <w:tc>
          <w:tcPr>
            <w:tcW w:w="761" w:type="pct"/>
            <w:shd w:val="clear" w:color="auto" w:fill="BBC7A7"/>
            <w:vAlign w:val="center"/>
          </w:tcPr>
          <w:p w14:paraId="4957DD1A" w14:textId="77777777" w:rsidR="001F40F7" w:rsidRPr="001F40F7" w:rsidRDefault="001F40F7" w:rsidP="001F40F7">
            <w:pPr>
              <w:rPr>
                <w:rFonts w:ascii="Avenir Next" w:hAnsi="Avenir Next"/>
                <w:sz w:val="20"/>
                <w:szCs w:val="20"/>
              </w:rPr>
            </w:pPr>
            <w:r w:rsidRPr="001F40F7">
              <w:rPr>
                <w:rFonts w:ascii="Avenir Next" w:hAnsi="Avenir Next"/>
                <w:sz w:val="20"/>
                <w:szCs w:val="20"/>
              </w:rPr>
              <w:t xml:space="preserve">General </w:t>
            </w:r>
          </w:p>
        </w:tc>
        <w:tc>
          <w:tcPr>
            <w:tcW w:w="2185" w:type="pct"/>
          </w:tcPr>
          <w:p w14:paraId="4ACA024A" w14:textId="77777777" w:rsidR="001F40F7" w:rsidRPr="006A1225" w:rsidRDefault="001F40F7" w:rsidP="00CE0AF6">
            <w:pPr>
              <w:rPr>
                <w:szCs w:val="22"/>
              </w:rPr>
            </w:pPr>
          </w:p>
        </w:tc>
        <w:tc>
          <w:tcPr>
            <w:tcW w:w="2054" w:type="pct"/>
          </w:tcPr>
          <w:p w14:paraId="42C6B48A" w14:textId="77777777" w:rsidR="001F40F7" w:rsidRPr="006A1225" w:rsidRDefault="001F40F7" w:rsidP="00CE0AF6">
            <w:pPr>
              <w:rPr>
                <w:szCs w:val="22"/>
              </w:rPr>
            </w:pPr>
          </w:p>
        </w:tc>
      </w:tr>
    </w:tbl>
    <w:p w14:paraId="619CDB9B" w14:textId="77777777" w:rsidR="001F40F7" w:rsidRPr="001F40F7" w:rsidRDefault="001F40F7" w:rsidP="001F40F7">
      <w:pPr>
        <w:spacing w:before="120" w:after="120" w:line="336" w:lineRule="auto"/>
        <w:rPr>
          <w:rFonts w:ascii="Avenir Next" w:eastAsia="IBM Plex Sans" w:hAnsi="Avenir Next" w:cs="IBM Plex Sans"/>
          <w:color w:val="000000"/>
          <w:sz w:val="20"/>
          <w:szCs w:val="20"/>
        </w:rPr>
      </w:pPr>
    </w:p>
    <w:sectPr w:rsidR="001F40F7" w:rsidRPr="001F40F7" w:rsidSect="003952D9">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40DCF" w14:textId="77777777" w:rsidR="003952D9" w:rsidRDefault="003952D9" w:rsidP="001F40F7">
      <w:r>
        <w:separator/>
      </w:r>
    </w:p>
  </w:endnote>
  <w:endnote w:type="continuationSeparator" w:id="0">
    <w:p w14:paraId="72E626D8" w14:textId="77777777" w:rsidR="003952D9" w:rsidRDefault="003952D9" w:rsidP="001F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76FC715-357A-524F-B9EB-A79EE951835E}"/>
    <w:embedBold r:id="rId2" w:fontKey="{F769E210-5760-F34E-8C32-B96C8974104F}"/>
  </w:font>
  <w:font w:name="Symbol">
    <w:panose1 w:val="05050102010706020507"/>
    <w:charset w:val="02"/>
    <w:family w:val="decorative"/>
    <w:pitch w:val="variable"/>
    <w:sig w:usb0="00000003" w:usb1="10000000" w:usb2="00000000" w:usb3="00000000" w:csb0="80000001" w:csb1="00000000"/>
    <w:embedRegular r:id="rId3" w:fontKey="{C9DE21D1-C605-DB4A-837B-E4A7C22B031D}"/>
  </w:font>
  <w:font w:name="Courier New">
    <w:panose1 w:val="02070309020205020404"/>
    <w:charset w:val="00"/>
    <w:family w:val="modern"/>
    <w:pitch w:val="fixed"/>
    <w:sig w:usb0="E0002AFF" w:usb1="C0007843" w:usb2="00000009" w:usb3="00000000" w:csb0="000001FF" w:csb1="00000000"/>
    <w:embedRegular r:id="rId4" w:fontKey="{F55CD0D6-46A4-6F45-A1AF-39A8A2D300AF}"/>
  </w:font>
  <w:font w:name="Wingdings">
    <w:panose1 w:val="05000000000000000000"/>
    <w:charset w:val="4D"/>
    <w:family w:val="decorative"/>
    <w:pitch w:val="variable"/>
    <w:sig w:usb0="00000003" w:usb1="00000000" w:usb2="00000000" w:usb3="00000000" w:csb0="80000001" w:csb1="00000000"/>
    <w:embedRegular r:id="rId5" w:fontKey="{CD125AA6-70FF-BF40-A703-F8D220862A96}"/>
  </w:font>
  <w:font w:name="Calibri">
    <w:panose1 w:val="020F0502020204030204"/>
    <w:charset w:val="00"/>
    <w:family w:val="swiss"/>
    <w:pitch w:val="variable"/>
    <w:sig w:usb0="E4002EFF" w:usb1="C200247B" w:usb2="00000009" w:usb3="00000000" w:csb0="000001FF" w:csb1="00000000"/>
    <w:embedRegular r:id="rId6" w:fontKey="{06CA6130-40EE-1649-A7D0-4143F94C209A}"/>
    <w:embedBold r:id="rId7" w:fontKey="{9BE2AAAA-0825-6C4D-800C-140EC566855A}"/>
  </w:font>
  <w:font w:name="Bodoni 72 Book">
    <w:altName w:val="BODONI 72 BOOK"/>
    <w:panose1 w:val="00000400000000000000"/>
    <w:charset w:val="00"/>
    <w:family w:val="auto"/>
    <w:pitch w:val="variable"/>
    <w:sig w:usb0="00000003" w:usb1="00000000" w:usb2="00000000" w:usb3="00000000" w:csb0="00000001" w:csb1="00000000"/>
    <w:embedRegular r:id="rId8" w:fontKey="{492C7F88-58AD-9B45-A249-B20A4AB6DF64}"/>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0" w:fontKey="{20914602-1608-1642-B0C3-8B2EDA22B8BD}"/>
    <w:embedBold r:id="rId11" w:fontKey="{6C727D7D-E101-7C4D-B7AC-22434C750A71}"/>
  </w:font>
  <w:font w:name="Montserrat">
    <w:panose1 w:val="00000500000000000000"/>
    <w:charset w:val="4D"/>
    <w:family w:val="auto"/>
    <w:pitch w:val="variable"/>
    <w:sig w:usb0="2000020F" w:usb1="00000003" w:usb2="00000000" w:usb3="00000000" w:csb0="00000197" w:csb1="00000000"/>
    <w:embedRegular r:id="rId12" w:fontKey="{C26B92A2-F8B3-FE41-8B0D-D03E4599F6D8}"/>
    <w:embedBold r:id="rId13" w:fontKey="{4C475A97-5E7C-6E46-AE5B-DAEB48D36D08}"/>
  </w:font>
  <w:font w:name="IBM Plex Sans">
    <w:panose1 w:val="020B0503050203000203"/>
    <w:charset w:val="00"/>
    <w:family w:val="swiss"/>
    <w:pitch w:val="variable"/>
    <w:sig w:usb0="A00002EF" w:usb1="5000207B" w:usb2="00000000" w:usb3="00000000" w:csb0="0000019F" w:csb1="00000000"/>
    <w:embedRegular r:id="rId14" w:fontKey="{58F5BA2C-AA85-4E4C-BC66-58C06799930A}"/>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6" w:fontKey="{586F8A0F-3A40-0149-9ADE-EA57D827A169}"/>
  </w:font>
  <w:font w:name="Arial">
    <w:panose1 w:val="020B0604020202020204"/>
    <w:charset w:val="00"/>
    <w:family w:val="swiss"/>
    <w:pitch w:val="variable"/>
    <w:sig w:usb0="E0002AFF" w:usb1="C0007843" w:usb2="00000009" w:usb3="00000000" w:csb0="000001FF" w:csb1="00000000"/>
    <w:embedRegular r:id="rId17" w:fontKey="{10141640-D7FB-CC4D-8CA9-B154F0AEA0D4}"/>
  </w:font>
  <w:font w:name="Calibri Light">
    <w:panose1 w:val="020F0302020204030204"/>
    <w:charset w:val="00"/>
    <w:family w:val="swiss"/>
    <w:pitch w:val="variable"/>
    <w:sig w:usb0="E4002EFF" w:usb1="C200247B" w:usb2="00000009" w:usb3="00000000" w:csb0="000001FF" w:csb1="00000000"/>
    <w:embedRegular r:id="rId18" w:fontKey="{41F2A235-D6B0-434C-AD81-270E5B0AF3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6C2B6" w14:textId="77777777" w:rsidR="003952D9" w:rsidRDefault="003952D9" w:rsidP="001F40F7">
      <w:r>
        <w:separator/>
      </w:r>
    </w:p>
  </w:footnote>
  <w:footnote w:type="continuationSeparator" w:id="0">
    <w:p w14:paraId="19106B55" w14:textId="77777777" w:rsidR="003952D9" w:rsidRDefault="003952D9" w:rsidP="001F40F7">
      <w:r>
        <w:continuationSeparator/>
      </w:r>
    </w:p>
  </w:footnote>
  <w:footnote w:id="1">
    <w:p w14:paraId="70FF15E6" w14:textId="59E45738" w:rsidR="001F40F7" w:rsidRPr="001F40F7" w:rsidRDefault="001F40F7">
      <w:pPr>
        <w:pStyle w:val="FootnoteText"/>
        <w:rPr>
          <w:rFonts w:ascii="Avenir Next" w:hAnsi="Avenir Next"/>
          <w:sz w:val="14"/>
          <w:szCs w:val="14"/>
          <w:lang w:val="en-GB"/>
        </w:rPr>
      </w:pPr>
      <w:r w:rsidRPr="001F40F7">
        <w:rPr>
          <w:rStyle w:val="FootnoteReference"/>
          <w:rFonts w:ascii="Avenir Next" w:hAnsi="Avenir Next"/>
          <w:sz w:val="14"/>
          <w:szCs w:val="14"/>
        </w:rPr>
        <w:footnoteRef/>
      </w:r>
      <w:r w:rsidRPr="001F40F7">
        <w:rPr>
          <w:rFonts w:ascii="Avenir Next" w:hAnsi="Avenir Next"/>
          <w:sz w:val="14"/>
          <w:szCs w:val="14"/>
        </w:rPr>
        <w:t xml:space="preserve"> UNDP SES Supplemental Guidance on Grievance Redress Mechanisms. This document also notes the UN Human Rights Council, 2011. Report of the UN Special Representative of the Secretary-General on the issue of human rights and transnational corporations and other business enterprises, John </w:t>
      </w:r>
      <w:proofErr w:type="spellStart"/>
      <w:r w:rsidRPr="001F40F7">
        <w:rPr>
          <w:rFonts w:ascii="Avenir Next" w:hAnsi="Avenir Next"/>
          <w:sz w:val="14"/>
          <w:szCs w:val="14"/>
        </w:rPr>
        <w:t>Ruggie</w:t>
      </w:r>
      <w:proofErr w:type="spellEnd"/>
      <w:r w:rsidRPr="001F40F7">
        <w:rPr>
          <w:rFonts w:ascii="Avenir Next" w:hAnsi="Avenir Next"/>
          <w:sz w:val="14"/>
          <w:szCs w:val="14"/>
        </w:rPr>
        <w:t xml:space="preserve">: Guiding Principles on Business and Human Rights: Implementing the United Nations “Protect, Respect and Remedy” Framework. A/HRC/17/31, 21 March. Though developed initially as a guide for businesses with potential operational impacts on the rights of affected communities and other stakeholders, these Guiding Principles, and particularly the guidance on grievance mechanisms as a key component of remedy, are rapidly gaining global support among multilateral agencies as a basis for developing and refining their organizational grievance mechanisms. Likewise, though the </w:t>
      </w:r>
      <w:proofErr w:type="gramStart"/>
      <w:r w:rsidRPr="001F40F7">
        <w:rPr>
          <w:rFonts w:ascii="Avenir Next" w:hAnsi="Avenir Next"/>
          <w:sz w:val="14"/>
          <w:szCs w:val="14"/>
        </w:rPr>
        <w:t>Principles</w:t>
      </w:r>
      <w:proofErr w:type="gramEnd"/>
      <w:r w:rsidRPr="001F40F7">
        <w:rPr>
          <w:rFonts w:ascii="Avenir Next" w:hAnsi="Avenir Next"/>
          <w:sz w:val="14"/>
          <w:szCs w:val="14"/>
        </w:rPr>
        <w:t xml:space="preserve"> are not officially addressed to government agencies or NGOs, they provide a strong foundation for Governments in reviewing, developing and refining their GRMs.</w:t>
      </w:r>
    </w:p>
  </w:footnote>
  <w:footnote w:id="2">
    <w:p w14:paraId="01FB493F" w14:textId="27E83EF4" w:rsidR="001F40F7" w:rsidRPr="001F40F7" w:rsidRDefault="001F40F7">
      <w:pPr>
        <w:pStyle w:val="FootnoteText"/>
        <w:rPr>
          <w:rFonts w:ascii="Avenir Next" w:hAnsi="Avenir Next"/>
          <w:sz w:val="14"/>
          <w:szCs w:val="14"/>
        </w:rPr>
      </w:pPr>
      <w:r w:rsidRPr="001F40F7">
        <w:rPr>
          <w:rStyle w:val="FootnoteReference"/>
          <w:rFonts w:ascii="Avenir Next" w:hAnsi="Avenir Next"/>
          <w:sz w:val="14"/>
          <w:szCs w:val="14"/>
        </w:rPr>
        <w:footnoteRef/>
      </w:r>
      <w:r w:rsidRPr="001F40F7">
        <w:rPr>
          <w:rFonts w:ascii="Avenir Next" w:hAnsi="Avenir Next"/>
          <w:sz w:val="14"/>
          <w:szCs w:val="14"/>
        </w:rPr>
        <w:t xml:space="preserve"> Note: if assessing multiple GRMs, it is recommended that a questionnaire is completed for each GRM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AEB"/>
    <w:multiLevelType w:val="hybridMultilevel"/>
    <w:tmpl w:val="2A8A3C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93255"/>
    <w:multiLevelType w:val="hybridMultilevel"/>
    <w:tmpl w:val="3800B79E"/>
    <w:lvl w:ilvl="0" w:tplc="98E4DAEA">
      <w:start w:val="1"/>
      <w:numFmt w:val="decimal"/>
      <w:lvlText w:val="%1."/>
      <w:lvlJc w:val="left"/>
      <w:pPr>
        <w:ind w:left="400" w:hanging="360"/>
      </w:pPr>
    </w:lvl>
    <w:lvl w:ilvl="1" w:tplc="D2709CEE">
      <w:start w:val="1"/>
      <w:numFmt w:val="lowerLetter"/>
      <w:lvlText w:val="%2."/>
      <w:lvlJc w:val="left"/>
      <w:pPr>
        <w:ind w:left="800" w:hanging="360"/>
      </w:pPr>
    </w:lvl>
    <w:lvl w:ilvl="2" w:tplc="04966CF4">
      <w:start w:val="1"/>
      <w:numFmt w:val="lowerRoman"/>
      <w:lvlText w:val="%3."/>
      <w:lvlJc w:val="right"/>
      <w:pPr>
        <w:ind w:left="1200" w:hanging="180"/>
      </w:pPr>
    </w:lvl>
    <w:lvl w:ilvl="3" w:tplc="5A807432">
      <w:start w:val="1"/>
      <w:numFmt w:val="decimal"/>
      <w:lvlText w:val="%4."/>
      <w:lvlJc w:val="left"/>
      <w:pPr>
        <w:ind w:left="1600" w:hanging="360"/>
      </w:pPr>
    </w:lvl>
    <w:lvl w:ilvl="4" w:tplc="1AC4460E">
      <w:start w:val="1"/>
      <w:numFmt w:val="lowerLetter"/>
      <w:lvlText w:val="%5."/>
      <w:lvlJc w:val="left"/>
      <w:pPr>
        <w:ind w:left="2000" w:hanging="360"/>
      </w:pPr>
    </w:lvl>
    <w:lvl w:ilvl="5" w:tplc="F8F2278A">
      <w:start w:val="1"/>
      <w:numFmt w:val="lowerRoman"/>
      <w:lvlText w:val="%6."/>
      <w:lvlJc w:val="right"/>
      <w:pPr>
        <w:ind w:left="2400" w:hanging="180"/>
      </w:pPr>
    </w:lvl>
    <w:lvl w:ilvl="6" w:tplc="6478ABC0">
      <w:start w:val="1"/>
      <w:numFmt w:val="decimal"/>
      <w:lvlText w:val="%7."/>
      <w:lvlJc w:val="left"/>
      <w:pPr>
        <w:ind w:left="2800" w:hanging="360"/>
      </w:pPr>
    </w:lvl>
    <w:lvl w:ilvl="7" w:tplc="5FBAEE38">
      <w:start w:val="1"/>
      <w:numFmt w:val="lowerLetter"/>
      <w:lvlText w:val="%8."/>
      <w:lvlJc w:val="left"/>
      <w:pPr>
        <w:ind w:left="3200" w:hanging="360"/>
      </w:pPr>
    </w:lvl>
    <w:lvl w:ilvl="8" w:tplc="9B94FC72">
      <w:numFmt w:val="decimal"/>
      <w:lvlText w:val=""/>
      <w:lvlJc w:val="left"/>
    </w:lvl>
  </w:abstractNum>
  <w:abstractNum w:abstractNumId="2" w15:restartNumberingAfterBreak="0">
    <w:nsid w:val="09930F5D"/>
    <w:multiLevelType w:val="hybridMultilevel"/>
    <w:tmpl w:val="1020F110"/>
    <w:lvl w:ilvl="0" w:tplc="A5BCBA04">
      <w:start w:val="1"/>
      <w:numFmt w:val="bullet"/>
      <w:lvlText w:val=""/>
      <w:lvlJc w:val="left"/>
      <w:pPr>
        <w:ind w:left="400" w:hanging="360"/>
      </w:pPr>
      <w:rPr>
        <w:rFonts w:ascii="Symbol" w:hAnsi="Symbol"/>
      </w:rPr>
    </w:lvl>
    <w:lvl w:ilvl="1" w:tplc="BDC8182C">
      <w:start w:val="1"/>
      <w:numFmt w:val="bullet"/>
      <w:lvlText w:val="o"/>
      <w:lvlJc w:val="left"/>
      <w:pPr>
        <w:ind w:left="800" w:hanging="360"/>
      </w:pPr>
      <w:rPr>
        <w:rFonts w:ascii="Courier New" w:hAnsi="Courier New"/>
      </w:rPr>
    </w:lvl>
    <w:lvl w:ilvl="2" w:tplc="B906CEC0">
      <w:start w:val="1"/>
      <w:numFmt w:val="bullet"/>
      <w:lvlText w:val=""/>
      <w:lvlJc w:val="left"/>
      <w:pPr>
        <w:ind w:left="1200" w:hanging="360"/>
      </w:pPr>
      <w:rPr>
        <w:rFonts w:ascii="Wingdings" w:hAnsi="Wingdings"/>
      </w:rPr>
    </w:lvl>
    <w:lvl w:ilvl="3" w:tplc="18E2E1B0">
      <w:start w:val="1"/>
      <w:numFmt w:val="bullet"/>
      <w:lvlText w:val=""/>
      <w:lvlJc w:val="left"/>
      <w:pPr>
        <w:ind w:left="1600" w:hanging="360"/>
      </w:pPr>
      <w:rPr>
        <w:rFonts w:ascii="Symbol" w:hAnsi="Symbol"/>
      </w:rPr>
    </w:lvl>
    <w:lvl w:ilvl="4" w:tplc="D9AC4C1A">
      <w:start w:val="1"/>
      <w:numFmt w:val="bullet"/>
      <w:lvlText w:val="o"/>
      <w:lvlJc w:val="left"/>
      <w:pPr>
        <w:ind w:left="2000" w:hanging="360"/>
      </w:pPr>
      <w:rPr>
        <w:rFonts w:ascii="Courier New" w:hAnsi="Courier New"/>
      </w:rPr>
    </w:lvl>
    <w:lvl w:ilvl="5" w:tplc="FCEECBF8">
      <w:start w:val="1"/>
      <w:numFmt w:val="bullet"/>
      <w:lvlText w:val=""/>
      <w:lvlJc w:val="left"/>
      <w:pPr>
        <w:ind w:left="2400" w:hanging="360"/>
      </w:pPr>
      <w:rPr>
        <w:rFonts w:ascii="Wingdings" w:hAnsi="Wingdings"/>
      </w:rPr>
    </w:lvl>
    <w:lvl w:ilvl="6" w:tplc="9DF098A0">
      <w:start w:val="1"/>
      <w:numFmt w:val="bullet"/>
      <w:lvlText w:val=""/>
      <w:lvlJc w:val="left"/>
      <w:pPr>
        <w:ind w:left="2800" w:hanging="360"/>
      </w:pPr>
      <w:rPr>
        <w:rFonts w:ascii="Symbol" w:hAnsi="Symbol"/>
      </w:rPr>
    </w:lvl>
    <w:lvl w:ilvl="7" w:tplc="BAFA7A3E">
      <w:start w:val="1"/>
      <w:numFmt w:val="bullet"/>
      <w:lvlText w:val="o"/>
      <w:lvlJc w:val="left"/>
      <w:pPr>
        <w:ind w:left="3200" w:hanging="360"/>
      </w:pPr>
      <w:rPr>
        <w:rFonts w:ascii="Courier New" w:hAnsi="Courier New"/>
      </w:rPr>
    </w:lvl>
    <w:lvl w:ilvl="8" w:tplc="0EECDB9E">
      <w:numFmt w:val="decimal"/>
      <w:lvlText w:val=""/>
      <w:lvlJc w:val="left"/>
    </w:lvl>
  </w:abstractNum>
  <w:abstractNum w:abstractNumId="3" w15:restartNumberingAfterBreak="0">
    <w:nsid w:val="0BF57061"/>
    <w:multiLevelType w:val="hybridMultilevel"/>
    <w:tmpl w:val="014A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233"/>
    <w:multiLevelType w:val="hybridMultilevel"/>
    <w:tmpl w:val="C744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F3BF7"/>
    <w:multiLevelType w:val="hybridMultilevel"/>
    <w:tmpl w:val="88688B4A"/>
    <w:lvl w:ilvl="0" w:tplc="32009A32">
      <w:start w:val="1"/>
      <w:numFmt w:val="bullet"/>
      <w:lvlText w:val=""/>
      <w:lvlJc w:val="left"/>
      <w:pPr>
        <w:ind w:left="400" w:hanging="360"/>
      </w:pPr>
      <w:rPr>
        <w:rFonts w:ascii="Symbol" w:hAnsi="Symbol"/>
      </w:rPr>
    </w:lvl>
    <w:lvl w:ilvl="1" w:tplc="06DC8744">
      <w:start w:val="1"/>
      <w:numFmt w:val="bullet"/>
      <w:lvlText w:val="o"/>
      <w:lvlJc w:val="left"/>
      <w:pPr>
        <w:ind w:left="800" w:hanging="360"/>
      </w:pPr>
      <w:rPr>
        <w:rFonts w:ascii="Courier New" w:hAnsi="Courier New"/>
      </w:rPr>
    </w:lvl>
    <w:lvl w:ilvl="2" w:tplc="CCA0C3F2">
      <w:start w:val="1"/>
      <w:numFmt w:val="bullet"/>
      <w:lvlText w:val=""/>
      <w:lvlJc w:val="left"/>
      <w:pPr>
        <w:ind w:left="1200" w:hanging="360"/>
      </w:pPr>
      <w:rPr>
        <w:rFonts w:ascii="Wingdings" w:hAnsi="Wingdings"/>
      </w:rPr>
    </w:lvl>
    <w:lvl w:ilvl="3" w:tplc="D5469012">
      <w:start w:val="1"/>
      <w:numFmt w:val="bullet"/>
      <w:lvlText w:val=""/>
      <w:lvlJc w:val="left"/>
      <w:pPr>
        <w:ind w:left="1600" w:hanging="360"/>
      </w:pPr>
      <w:rPr>
        <w:rFonts w:ascii="Symbol" w:hAnsi="Symbol"/>
      </w:rPr>
    </w:lvl>
    <w:lvl w:ilvl="4" w:tplc="6F08106C">
      <w:start w:val="1"/>
      <w:numFmt w:val="bullet"/>
      <w:lvlText w:val="o"/>
      <w:lvlJc w:val="left"/>
      <w:pPr>
        <w:ind w:left="2000" w:hanging="360"/>
      </w:pPr>
      <w:rPr>
        <w:rFonts w:ascii="Courier New" w:hAnsi="Courier New"/>
      </w:rPr>
    </w:lvl>
    <w:lvl w:ilvl="5" w:tplc="4EFEFEA8">
      <w:start w:val="1"/>
      <w:numFmt w:val="bullet"/>
      <w:lvlText w:val=""/>
      <w:lvlJc w:val="left"/>
      <w:pPr>
        <w:ind w:left="2400" w:hanging="360"/>
      </w:pPr>
      <w:rPr>
        <w:rFonts w:ascii="Wingdings" w:hAnsi="Wingdings"/>
      </w:rPr>
    </w:lvl>
    <w:lvl w:ilvl="6" w:tplc="4148C6FE">
      <w:start w:val="1"/>
      <w:numFmt w:val="bullet"/>
      <w:lvlText w:val=""/>
      <w:lvlJc w:val="left"/>
      <w:pPr>
        <w:ind w:left="2800" w:hanging="360"/>
      </w:pPr>
      <w:rPr>
        <w:rFonts w:ascii="Symbol" w:hAnsi="Symbol"/>
      </w:rPr>
    </w:lvl>
    <w:lvl w:ilvl="7" w:tplc="A0F678C0">
      <w:start w:val="1"/>
      <w:numFmt w:val="bullet"/>
      <w:lvlText w:val="o"/>
      <w:lvlJc w:val="left"/>
      <w:pPr>
        <w:ind w:left="3200" w:hanging="360"/>
      </w:pPr>
      <w:rPr>
        <w:rFonts w:ascii="Courier New" w:hAnsi="Courier New"/>
      </w:rPr>
    </w:lvl>
    <w:lvl w:ilvl="8" w:tplc="E5F6AF0A">
      <w:numFmt w:val="decimal"/>
      <w:lvlText w:val=""/>
      <w:lvlJc w:val="left"/>
    </w:lvl>
  </w:abstractNum>
  <w:abstractNum w:abstractNumId="6" w15:restartNumberingAfterBreak="0">
    <w:nsid w:val="2D6A04D7"/>
    <w:multiLevelType w:val="hybridMultilevel"/>
    <w:tmpl w:val="B0CADE26"/>
    <w:lvl w:ilvl="0" w:tplc="E19A6A86">
      <w:start w:val="1"/>
      <w:numFmt w:val="bullet"/>
      <w:lvlText w:val=""/>
      <w:lvlJc w:val="left"/>
      <w:pPr>
        <w:ind w:left="400" w:hanging="360"/>
      </w:pPr>
      <w:rPr>
        <w:rFonts w:ascii="Symbol" w:hAnsi="Symbol"/>
      </w:rPr>
    </w:lvl>
    <w:lvl w:ilvl="1" w:tplc="391EA97E">
      <w:start w:val="1"/>
      <w:numFmt w:val="bullet"/>
      <w:lvlText w:val="o"/>
      <w:lvlJc w:val="left"/>
      <w:pPr>
        <w:ind w:left="800" w:hanging="360"/>
      </w:pPr>
      <w:rPr>
        <w:rFonts w:ascii="Courier New" w:hAnsi="Courier New"/>
      </w:rPr>
    </w:lvl>
    <w:lvl w:ilvl="2" w:tplc="CDFE3260">
      <w:start w:val="1"/>
      <w:numFmt w:val="bullet"/>
      <w:lvlText w:val=""/>
      <w:lvlJc w:val="left"/>
      <w:pPr>
        <w:ind w:left="1200" w:hanging="360"/>
      </w:pPr>
      <w:rPr>
        <w:rFonts w:ascii="Wingdings" w:hAnsi="Wingdings"/>
      </w:rPr>
    </w:lvl>
    <w:lvl w:ilvl="3" w:tplc="10F4D69C">
      <w:start w:val="1"/>
      <w:numFmt w:val="bullet"/>
      <w:lvlText w:val=""/>
      <w:lvlJc w:val="left"/>
      <w:pPr>
        <w:ind w:left="1600" w:hanging="360"/>
      </w:pPr>
      <w:rPr>
        <w:rFonts w:ascii="Symbol" w:hAnsi="Symbol"/>
      </w:rPr>
    </w:lvl>
    <w:lvl w:ilvl="4" w:tplc="DC506648">
      <w:start w:val="1"/>
      <w:numFmt w:val="bullet"/>
      <w:lvlText w:val="o"/>
      <w:lvlJc w:val="left"/>
      <w:pPr>
        <w:ind w:left="2000" w:hanging="360"/>
      </w:pPr>
      <w:rPr>
        <w:rFonts w:ascii="Courier New" w:hAnsi="Courier New"/>
      </w:rPr>
    </w:lvl>
    <w:lvl w:ilvl="5" w:tplc="6BE47B1C">
      <w:start w:val="1"/>
      <w:numFmt w:val="bullet"/>
      <w:lvlText w:val=""/>
      <w:lvlJc w:val="left"/>
      <w:pPr>
        <w:ind w:left="2400" w:hanging="360"/>
      </w:pPr>
      <w:rPr>
        <w:rFonts w:ascii="Wingdings" w:hAnsi="Wingdings"/>
      </w:rPr>
    </w:lvl>
    <w:lvl w:ilvl="6" w:tplc="4F18D3B6">
      <w:start w:val="1"/>
      <w:numFmt w:val="bullet"/>
      <w:lvlText w:val=""/>
      <w:lvlJc w:val="left"/>
      <w:pPr>
        <w:ind w:left="2800" w:hanging="360"/>
      </w:pPr>
      <w:rPr>
        <w:rFonts w:ascii="Symbol" w:hAnsi="Symbol"/>
      </w:rPr>
    </w:lvl>
    <w:lvl w:ilvl="7" w:tplc="AC142672">
      <w:start w:val="1"/>
      <w:numFmt w:val="bullet"/>
      <w:lvlText w:val="o"/>
      <w:lvlJc w:val="left"/>
      <w:pPr>
        <w:ind w:left="3200" w:hanging="360"/>
      </w:pPr>
      <w:rPr>
        <w:rFonts w:ascii="Courier New" w:hAnsi="Courier New"/>
      </w:rPr>
    </w:lvl>
    <w:lvl w:ilvl="8" w:tplc="65B41AA8">
      <w:numFmt w:val="decimal"/>
      <w:lvlText w:val=""/>
      <w:lvlJc w:val="left"/>
    </w:lvl>
  </w:abstractNum>
  <w:abstractNum w:abstractNumId="7" w15:restartNumberingAfterBreak="0">
    <w:nsid w:val="32163CFC"/>
    <w:multiLevelType w:val="hybridMultilevel"/>
    <w:tmpl w:val="A7EC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43C02"/>
    <w:multiLevelType w:val="hybridMultilevel"/>
    <w:tmpl w:val="D780D300"/>
    <w:lvl w:ilvl="0" w:tplc="5F80387E">
      <w:start w:val="1"/>
      <w:numFmt w:val="bullet"/>
      <w:lvlText w:val=""/>
      <w:lvlJc w:val="left"/>
      <w:pPr>
        <w:ind w:left="400" w:hanging="360"/>
      </w:pPr>
      <w:rPr>
        <w:rFonts w:ascii="Symbol" w:hAnsi="Symbol"/>
      </w:rPr>
    </w:lvl>
    <w:lvl w:ilvl="1" w:tplc="A5FA1600">
      <w:start w:val="1"/>
      <w:numFmt w:val="bullet"/>
      <w:lvlText w:val="o"/>
      <w:lvlJc w:val="left"/>
      <w:pPr>
        <w:ind w:left="800" w:hanging="360"/>
      </w:pPr>
      <w:rPr>
        <w:rFonts w:ascii="Courier New" w:hAnsi="Courier New"/>
      </w:rPr>
    </w:lvl>
    <w:lvl w:ilvl="2" w:tplc="6582A1E0">
      <w:start w:val="1"/>
      <w:numFmt w:val="bullet"/>
      <w:lvlText w:val=""/>
      <w:lvlJc w:val="left"/>
      <w:pPr>
        <w:ind w:left="1200" w:hanging="360"/>
      </w:pPr>
      <w:rPr>
        <w:rFonts w:ascii="Wingdings" w:hAnsi="Wingdings"/>
      </w:rPr>
    </w:lvl>
    <w:lvl w:ilvl="3" w:tplc="9056CBF2">
      <w:start w:val="1"/>
      <w:numFmt w:val="bullet"/>
      <w:lvlText w:val=""/>
      <w:lvlJc w:val="left"/>
      <w:pPr>
        <w:ind w:left="1600" w:hanging="360"/>
      </w:pPr>
      <w:rPr>
        <w:rFonts w:ascii="Symbol" w:hAnsi="Symbol"/>
      </w:rPr>
    </w:lvl>
    <w:lvl w:ilvl="4" w:tplc="BDBEB558">
      <w:start w:val="1"/>
      <w:numFmt w:val="bullet"/>
      <w:lvlText w:val="o"/>
      <w:lvlJc w:val="left"/>
      <w:pPr>
        <w:ind w:left="2000" w:hanging="360"/>
      </w:pPr>
      <w:rPr>
        <w:rFonts w:ascii="Courier New" w:hAnsi="Courier New"/>
      </w:rPr>
    </w:lvl>
    <w:lvl w:ilvl="5" w:tplc="7A06D1AC">
      <w:start w:val="1"/>
      <w:numFmt w:val="bullet"/>
      <w:lvlText w:val=""/>
      <w:lvlJc w:val="left"/>
      <w:pPr>
        <w:ind w:left="2400" w:hanging="360"/>
      </w:pPr>
      <w:rPr>
        <w:rFonts w:ascii="Wingdings" w:hAnsi="Wingdings"/>
      </w:rPr>
    </w:lvl>
    <w:lvl w:ilvl="6" w:tplc="36F82EE2">
      <w:start w:val="1"/>
      <w:numFmt w:val="bullet"/>
      <w:lvlText w:val=""/>
      <w:lvlJc w:val="left"/>
      <w:pPr>
        <w:ind w:left="2800" w:hanging="360"/>
      </w:pPr>
      <w:rPr>
        <w:rFonts w:ascii="Symbol" w:hAnsi="Symbol"/>
      </w:rPr>
    </w:lvl>
    <w:lvl w:ilvl="7" w:tplc="F3280E72">
      <w:start w:val="1"/>
      <w:numFmt w:val="bullet"/>
      <w:lvlText w:val="o"/>
      <w:lvlJc w:val="left"/>
      <w:pPr>
        <w:ind w:left="3200" w:hanging="360"/>
      </w:pPr>
      <w:rPr>
        <w:rFonts w:ascii="Courier New" w:hAnsi="Courier New"/>
      </w:rPr>
    </w:lvl>
    <w:lvl w:ilvl="8" w:tplc="7FA4588C">
      <w:numFmt w:val="decimal"/>
      <w:lvlText w:val=""/>
      <w:lvlJc w:val="left"/>
    </w:lvl>
  </w:abstractNum>
  <w:abstractNum w:abstractNumId="9" w15:restartNumberingAfterBreak="0">
    <w:nsid w:val="433E538A"/>
    <w:multiLevelType w:val="hybridMultilevel"/>
    <w:tmpl w:val="13D677FE"/>
    <w:lvl w:ilvl="0" w:tplc="C35C23F4">
      <w:start w:val="1"/>
      <w:numFmt w:val="decimal"/>
      <w:lvlText w:val="%1."/>
      <w:lvlJc w:val="left"/>
      <w:pPr>
        <w:ind w:left="400" w:hanging="360"/>
      </w:pPr>
    </w:lvl>
    <w:lvl w:ilvl="1" w:tplc="ACE2F6D2">
      <w:start w:val="1"/>
      <w:numFmt w:val="lowerLetter"/>
      <w:lvlText w:val="%2."/>
      <w:lvlJc w:val="left"/>
      <w:pPr>
        <w:ind w:left="800" w:hanging="360"/>
      </w:pPr>
    </w:lvl>
    <w:lvl w:ilvl="2" w:tplc="9E0A7C9E">
      <w:start w:val="1"/>
      <w:numFmt w:val="lowerRoman"/>
      <w:lvlText w:val="%3."/>
      <w:lvlJc w:val="right"/>
      <w:pPr>
        <w:ind w:left="1200" w:hanging="180"/>
      </w:pPr>
    </w:lvl>
    <w:lvl w:ilvl="3" w:tplc="256E62DE">
      <w:start w:val="1"/>
      <w:numFmt w:val="decimal"/>
      <w:lvlText w:val="%4."/>
      <w:lvlJc w:val="left"/>
      <w:pPr>
        <w:ind w:left="1600" w:hanging="360"/>
      </w:pPr>
    </w:lvl>
    <w:lvl w:ilvl="4" w:tplc="4ED0D2BC">
      <w:start w:val="1"/>
      <w:numFmt w:val="lowerLetter"/>
      <w:lvlText w:val="%5."/>
      <w:lvlJc w:val="left"/>
      <w:pPr>
        <w:ind w:left="2000" w:hanging="360"/>
      </w:pPr>
    </w:lvl>
    <w:lvl w:ilvl="5" w:tplc="0EB81E6A">
      <w:start w:val="1"/>
      <w:numFmt w:val="lowerRoman"/>
      <w:lvlText w:val="%6."/>
      <w:lvlJc w:val="right"/>
      <w:pPr>
        <w:ind w:left="2400" w:hanging="180"/>
      </w:pPr>
    </w:lvl>
    <w:lvl w:ilvl="6" w:tplc="0AD00B84">
      <w:start w:val="1"/>
      <w:numFmt w:val="decimal"/>
      <w:lvlText w:val="%7."/>
      <w:lvlJc w:val="left"/>
      <w:pPr>
        <w:ind w:left="2800" w:hanging="360"/>
      </w:pPr>
    </w:lvl>
    <w:lvl w:ilvl="7" w:tplc="3AECF9E4">
      <w:start w:val="1"/>
      <w:numFmt w:val="lowerLetter"/>
      <w:lvlText w:val="%8."/>
      <w:lvlJc w:val="left"/>
      <w:pPr>
        <w:ind w:left="3200" w:hanging="360"/>
      </w:pPr>
    </w:lvl>
    <w:lvl w:ilvl="8" w:tplc="579448B8">
      <w:numFmt w:val="decimal"/>
      <w:lvlText w:val=""/>
      <w:lvlJc w:val="left"/>
    </w:lvl>
  </w:abstractNum>
  <w:abstractNum w:abstractNumId="10"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1" w15:restartNumberingAfterBreak="0">
    <w:nsid w:val="55381E10"/>
    <w:multiLevelType w:val="hybridMultilevel"/>
    <w:tmpl w:val="E3BEB278"/>
    <w:lvl w:ilvl="0" w:tplc="39BE87FE">
      <w:start w:val="1"/>
      <w:numFmt w:val="bullet"/>
      <w:lvlText w:val=""/>
      <w:lvlJc w:val="left"/>
      <w:pPr>
        <w:ind w:left="400" w:hanging="360"/>
      </w:pPr>
      <w:rPr>
        <w:rFonts w:ascii="Symbol" w:hAnsi="Symbol"/>
      </w:rPr>
    </w:lvl>
    <w:lvl w:ilvl="1" w:tplc="C6505F84">
      <w:start w:val="1"/>
      <w:numFmt w:val="bullet"/>
      <w:lvlText w:val="o"/>
      <w:lvlJc w:val="left"/>
      <w:pPr>
        <w:ind w:left="800" w:hanging="360"/>
      </w:pPr>
      <w:rPr>
        <w:rFonts w:ascii="Courier New" w:hAnsi="Courier New"/>
      </w:rPr>
    </w:lvl>
    <w:lvl w:ilvl="2" w:tplc="A85A15B8">
      <w:start w:val="1"/>
      <w:numFmt w:val="bullet"/>
      <w:lvlText w:val=""/>
      <w:lvlJc w:val="left"/>
      <w:pPr>
        <w:ind w:left="1200" w:hanging="360"/>
      </w:pPr>
      <w:rPr>
        <w:rFonts w:ascii="Wingdings" w:hAnsi="Wingdings"/>
      </w:rPr>
    </w:lvl>
    <w:lvl w:ilvl="3" w:tplc="94FC01A2">
      <w:start w:val="1"/>
      <w:numFmt w:val="bullet"/>
      <w:lvlText w:val=""/>
      <w:lvlJc w:val="left"/>
      <w:pPr>
        <w:ind w:left="1600" w:hanging="360"/>
      </w:pPr>
      <w:rPr>
        <w:rFonts w:ascii="Symbol" w:hAnsi="Symbol"/>
      </w:rPr>
    </w:lvl>
    <w:lvl w:ilvl="4" w:tplc="DFBA6522">
      <w:start w:val="1"/>
      <w:numFmt w:val="bullet"/>
      <w:lvlText w:val="o"/>
      <w:lvlJc w:val="left"/>
      <w:pPr>
        <w:ind w:left="2000" w:hanging="360"/>
      </w:pPr>
      <w:rPr>
        <w:rFonts w:ascii="Courier New" w:hAnsi="Courier New"/>
      </w:rPr>
    </w:lvl>
    <w:lvl w:ilvl="5" w:tplc="2FF4301A">
      <w:start w:val="1"/>
      <w:numFmt w:val="bullet"/>
      <w:lvlText w:val=""/>
      <w:lvlJc w:val="left"/>
      <w:pPr>
        <w:ind w:left="2400" w:hanging="360"/>
      </w:pPr>
      <w:rPr>
        <w:rFonts w:ascii="Wingdings" w:hAnsi="Wingdings"/>
      </w:rPr>
    </w:lvl>
    <w:lvl w:ilvl="6" w:tplc="AD645DD6">
      <w:start w:val="1"/>
      <w:numFmt w:val="bullet"/>
      <w:lvlText w:val=""/>
      <w:lvlJc w:val="left"/>
      <w:pPr>
        <w:ind w:left="2800" w:hanging="360"/>
      </w:pPr>
      <w:rPr>
        <w:rFonts w:ascii="Symbol" w:hAnsi="Symbol"/>
      </w:rPr>
    </w:lvl>
    <w:lvl w:ilvl="7" w:tplc="708883DA">
      <w:start w:val="1"/>
      <w:numFmt w:val="bullet"/>
      <w:lvlText w:val="o"/>
      <w:lvlJc w:val="left"/>
      <w:pPr>
        <w:ind w:left="3200" w:hanging="360"/>
      </w:pPr>
      <w:rPr>
        <w:rFonts w:ascii="Courier New" w:hAnsi="Courier New"/>
      </w:rPr>
    </w:lvl>
    <w:lvl w:ilvl="8" w:tplc="EC7E368A">
      <w:numFmt w:val="decimal"/>
      <w:lvlText w:val=""/>
      <w:lvlJc w:val="left"/>
    </w:lvl>
  </w:abstractNum>
  <w:abstractNum w:abstractNumId="12" w15:restartNumberingAfterBreak="0">
    <w:nsid w:val="6050221D"/>
    <w:multiLevelType w:val="hybridMultilevel"/>
    <w:tmpl w:val="D396E2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B14BF6"/>
    <w:multiLevelType w:val="hybridMultilevel"/>
    <w:tmpl w:val="A6DA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04791"/>
    <w:multiLevelType w:val="hybridMultilevel"/>
    <w:tmpl w:val="7F58DA54"/>
    <w:lvl w:ilvl="0" w:tplc="477E3136">
      <w:start w:val="1"/>
      <w:numFmt w:val="bullet"/>
      <w:lvlText w:val=""/>
      <w:lvlJc w:val="left"/>
      <w:pPr>
        <w:ind w:left="400" w:hanging="360"/>
      </w:pPr>
      <w:rPr>
        <w:rFonts w:ascii="Symbol" w:hAnsi="Symbol"/>
      </w:rPr>
    </w:lvl>
    <w:lvl w:ilvl="1" w:tplc="68B44850">
      <w:start w:val="1"/>
      <w:numFmt w:val="bullet"/>
      <w:lvlText w:val="o"/>
      <w:lvlJc w:val="left"/>
      <w:pPr>
        <w:ind w:left="800" w:hanging="360"/>
      </w:pPr>
      <w:rPr>
        <w:rFonts w:ascii="Courier New" w:hAnsi="Courier New"/>
      </w:rPr>
    </w:lvl>
    <w:lvl w:ilvl="2" w:tplc="70FC05BC">
      <w:start w:val="1"/>
      <w:numFmt w:val="bullet"/>
      <w:lvlText w:val=""/>
      <w:lvlJc w:val="left"/>
      <w:pPr>
        <w:ind w:left="1200" w:hanging="360"/>
      </w:pPr>
      <w:rPr>
        <w:rFonts w:ascii="Wingdings" w:hAnsi="Wingdings"/>
      </w:rPr>
    </w:lvl>
    <w:lvl w:ilvl="3" w:tplc="7D2695B6">
      <w:start w:val="1"/>
      <w:numFmt w:val="bullet"/>
      <w:lvlText w:val=""/>
      <w:lvlJc w:val="left"/>
      <w:pPr>
        <w:ind w:left="1600" w:hanging="360"/>
      </w:pPr>
      <w:rPr>
        <w:rFonts w:ascii="Symbol" w:hAnsi="Symbol"/>
      </w:rPr>
    </w:lvl>
    <w:lvl w:ilvl="4" w:tplc="13B08C24">
      <w:start w:val="1"/>
      <w:numFmt w:val="bullet"/>
      <w:lvlText w:val="o"/>
      <w:lvlJc w:val="left"/>
      <w:pPr>
        <w:ind w:left="2000" w:hanging="360"/>
      </w:pPr>
      <w:rPr>
        <w:rFonts w:ascii="Courier New" w:hAnsi="Courier New"/>
      </w:rPr>
    </w:lvl>
    <w:lvl w:ilvl="5" w:tplc="EC8EACA2">
      <w:start w:val="1"/>
      <w:numFmt w:val="bullet"/>
      <w:lvlText w:val=""/>
      <w:lvlJc w:val="left"/>
      <w:pPr>
        <w:ind w:left="2400" w:hanging="360"/>
      </w:pPr>
      <w:rPr>
        <w:rFonts w:ascii="Wingdings" w:hAnsi="Wingdings"/>
      </w:rPr>
    </w:lvl>
    <w:lvl w:ilvl="6" w:tplc="7954FD84">
      <w:start w:val="1"/>
      <w:numFmt w:val="bullet"/>
      <w:lvlText w:val=""/>
      <w:lvlJc w:val="left"/>
      <w:pPr>
        <w:ind w:left="2800" w:hanging="360"/>
      </w:pPr>
      <w:rPr>
        <w:rFonts w:ascii="Symbol" w:hAnsi="Symbol"/>
      </w:rPr>
    </w:lvl>
    <w:lvl w:ilvl="7" w:tplc="57143128">
      <w:start w:val="1"/>
      <w:numFmt w:val="bullet"/>
      <w:lvlText w:val="o"/>
      <w:lvlJc w:val="left"/>
      <w:pPr>
        <w:ind w:left="3200" w:hanging="360"/>
      </w:pPr>
      <w:rPr>
        <w:rFonts w:ascii="Courier New" w:hAnsi="Courier New"/>
      </w:rPr>
    </w:lvl>
    <w:lvl w:ilvl="8" w:tplc="45D44390">
      <w:numFmt w:val="decimal"/>
      <w:lvlText w:val=""/>
      <w:lvlJc w:val="left"/>
    </w:lvl>
  </w:abstractNum>
  <w:abstractNum w:abstractNumId="15" w15:restartNumberingAfterBreak="0">
    <w:nsid w:val="783F4BA0"/>
    <w:multiLevelType w:val="hybridMultilevel"/>
    <w:tmpl w:val="DFDC8774"/>
    <w:lvl w:ilvl="0" w:tplc="14267986">
      <w:start w:val="1"/>
      <w:numFmt w:val="bullet"/>
      <w:lvlText w:val=""/>
      <w:lvlJc w:val="left"/>
      <w:pPr>
        <w:ind w:left="400" w:hanging="360"/>
      </w:pPr>
      <w:rPr>
        <w:rFonts w:ascii="Symbol" w:hAnsi="Symbol"/>
      </w:rPr>
    </w:lvl>
    <w:lvl w:ilvl="1" w:tplc="68A05C60">
      <w:start w:val="1"/>
      <w:numFmt w:val="bullet"/>
      <w:lvlText w:val="o"/>
      <w:lvlJc w:val="left"/>
      <w:pPr>
        <w:ind w:left="800" w:hanging="360"/>
      </w:pPr>
      <w:rPr>
        <w:rFonts w:ascii="Courier New" w:hAnsi="Courier New"/>
      </w:rPr>
    </w:lvl>
    <w:lvl w:ilvl="2" w:tplc="6D084438">
      <w:start w:val="1"/>
      <w:numFmt w:val="bullet"/>
      <w:lvlText w:val=""/>
      <w:lvlJc w:val="left"/>
      <w:pPr>
        <w:ind w:left="1200" w:hanging="360"/>
      </w:pPr>
      <w:rPr>
        <w:rFonts w:ascii="Wingdings" w:hAnsi="Wingdings"/>
      </w:rPr>
    </w:lvl>
    <w:lvl w:ilvl="3" w:tplc="8F042088">
      <w:start w:val="1"/>
      <w:numFmt w:val="bullet"/>
      <w:lvlText w:val=""/>
      <w:lvlJc w:val="left"/>
      <w:pPr>
        <w:ind w:left="1600" w:hanging="360"/>
      </w:pPr>
      <w:rPr>
        <w:rFonts w:ascii="Symbol" w:hAnsi="Symbol"/>
      </w:rPr>
    </w:lvl>
    <w:lvl w:ilvl="4" w:tplc="42D2F400">
      <w:start w:val="1"/>
      <w:numFmt w:val="bullet"/>
      <w:lvlText w:val="o"/>
      <w:lvlJc w:val="left"/>
      <w:pPr>
        <w:ind w:left="2000" w:hanging="360"/>
      </w:pPr>
      <w:rPr>
        <w:rFonts w:ascii="Courier New" w:hAnsi="Courier New"/>
      </w:rPr>
    </w:lvl>
    <w:lvl w:ilvl="5" w:tplc="4718B4EC">
      <w:start w:val="1"/>
      <w:numFmt w:val="bullet"/>
      <w:lvlText w:val=""/>
      <w:lvlJc w:val="left"/>
      <w:pPr>
        <w:ind w:left="2400" w:hanging="360"/>
      </w:pPr>
      <w:rPr>
        <w:rFonts w:ascii="Wingdings" w:hAnsi="Wingdings"/>
      </w:rPr>
    </w:lvl>
    <w:lvl w:ilvl="6" w:tplc="4F8070D2">
      <w:start w:val="1"/>
      <w:numFmt w:val="bullet"/>
      <w:lvlText w:val=""/>
      <w:lvlJc w:val="left"/>
      <w:pPr>
        <w:ind w:left="2800" w:hanging="360"/>
      </w:pPr>
      <w:rPr>
        <w:rFonts w:ascii="Symbol" w:hAnsi="Symbol"/>
      </w:rPr>
    </w:lvl>
    <w:lvl w:ilvl="7" w:tplc="9EA0E6E0">
      <w:start w:val="1"/>
      <w:numFmt w:val="bullet"/>
      <w:lvlText w:val="o"/>
      <w:lvlJc w:val="left"/>
      <w:pPr>
        <w:ind w:left="3200" w:hanging="360"/>
      </w:pPr>
      <w:rPr>
        <w:rFonts w:ascii="Courier New" w:hAnsi="Courier New"/>
      </w:rPr>
    </w:lvl>
    <w:lvl w:ilvl="8" w:tplc="A5449A6A">
      <w:numFmt w:val="decimal"/>
      <w:lvlText w:val=""/>
      <w:lvlJc w:val="left"/>
    </w:lvl>
  </w:abstractNum>
  <w:abstractNum w:abstractNumId="16" w15:restartNumberingAfterBreak="0">
    <w:nsid w:val="7A833614"/>
    <w:multiLevelType w:val="hybridMultilevel"/>
    <w:tmpl w:val="B3DA315A"/>
    <w:lvl w:ilvl="0" w:tplc="A6967808">
      <w:start w:val="1"/>
      <w:numFmt w:val="bullet"/>
      <w:lvlText w:val=""/>
      <w:lvlJc w:val="left"/>
      <w:pPr>
        <w:ind w:left="400" w:hanging="360"/>
      </w:pPr>
      <w:rPr>
        <w:rFonts w:ascii="Symbol" w:hAnsi="Symbol"/>
      </w:rPr>
    </w:lvl>
    <w:lvl w:ilvl="1" w:tplc="52A6429A">
      <w:start w:val="1"/>
      <w:numFmt w:val="bullet"/>
      <w:lvlText w:val="o"/>
      <w:lvlJc w:val="left"/>
      <w:pPr>
        <w:ind w:left="800" w:hanging="360"/>
      </w:pPr>
      <w:rPr>
        <w:rFonts w:ascii="Courier New" w:hAnsi="Courier New"/>
      </w:rPr>
    </w:lvl>
    <w:lvl w:ilvl="2" w:tplc="A426F21A">
      <w:start w:val="1"/>
      <w:numFmt w:val="bullet"/>
      <w:lvlText w:val=""/>
      <w:lvlJc w:val="left"/>
      <w:pPr>
        <w:ind w:left="1200" w:hanging="360"/>
      </w:pPr>
      <w:rPr>
        <w:rFonts w:ascii="Wingdings" w:hAnsi="Wingdings"/>
      </w:rPr>
    </w:lvl>
    <w:lvl w:ilvl="3" w:tplc="8AB0FDD0">
      <w:start w:val="1"/>
      <w:numFmt w:val="bullet"/>
      <w:lvlText w:val=""/>
      <w:lvlJc w:val="left"/>
      <w:pPr>
        <w:ind w:left="1600" w:hanging="360"/>
      </w:pPr>
      <w:rPr>
        <w:rFonts w:ascii="Symbol" w:hAnsi="Symbol"/>
      </w:rPr>
    </w:lvl>
    <w:lvl w:ilvl="4" w:tplc="C7CECDE8">
      <w:start w:val="1"/>
      <w:numFmt w:val="bullet"/>
      <w:lvlText w:val="o"/>
      <w:lvlJc w:val="left"/>
      <w:pPr>
        <w:ind w:left="2000" w:hanging="360"/>
      </w:pPr>
      <w:rPr>
        <w:rFonts w:ascii="Courier New" w:hAnsi="Courier New"/>
      </w:rPr>
    </w:lvl>
    <w:lvl w:ilvl="5" w:tplc="D4E28FD4">
      <w:start w:val="1"/>
      <w:numFmt w:val="bullet"/>
      <w:lvlText w:val=""/>
      <w:lvlJc w:val="left"/>
      <w:pPr>
        <w:ind w:left="2400" w:hanging="360"/>
      </w:pPr>
      <w:rPr>
        <w:rFonts w:ascii="Wingdings" w:hAnsi="Wingdings"/>
      </w:rPr>
    </w:lvl>
    <w:lvl w:ilvl="6" w:tplc="579EBBD0">
      <w:start w:val="1"/>
      <w:numFmt w:val="bullet"/>
      <w:lvlText w:val=""/>
      <w:lvlJc w:val="left"/>
      <w:pPr>
        <w:ind w:left="2800" w:hanging="360"/>
      </w:pPr>
      <w:rPr>
        <w:rFonts w:ascii="Symbol" w:hAnsi="Symbol"/>
      </w:rPr>
    </w:lvl>
    <w:lvl w:ilvl="7" w:tplc="9EBE6178">
      <w:start w:val="1"/>
      <w:numFmt w:val="bullet"/>
      <w:lvlText w:val="o"/>
      <w:lvlJc w:val="left"/>
      <w:pPr>
        <w:ind w:left="3200" w:hanging="360"/>
      </w:pPr>
      <w:rPr>
        <w:rFonts w:ascii="Courier New" w:hAnsi="Courier New"/>
      </w:rPr>
    </w:lvl>
    <w:lvl w:ilvl="8" w:tplc="A2566852">
      <w:numFmt w:val="decimal"/>
      <w:lvlText w:val=""/>
      <w:lvlJc w:val="left"/>
    </w:lvl>
  </w:abstractNum>
  <w:num w:numId="1" w16cid:durableId="1151092052">
    <w:abstractNumId w:val="8"/>
  </w:num>
  <w:num w:numId="2" w16cid:durableId="1794053910">
    <w:abstractNumId w:val="9"/>
  </w:num>
  <w:num w:numId="3" w16cid:durableId="1253706176">
    <w:abstractNumId w:val="16"/>
  </w:num>
  <w:num w:numId="4" w16cid:durableId="502399257">
    <w:abstractNumId w:val="1"/>
  </w:num>
  <w:num w:numId="5" w16cid:durableId="186985327">
    <w:abstractNumId w:val="6"/>
  </w:num>
  <w:num w:numId="6" w16cid:durableId="2080790625">
    <w:abstractNumId w:val="15"/>
  </w:num>
  <w:num w:numId="7" w16cid:durableId="1482188485">
    <w:abstractNumId w:val="2"/>
  </w:num>
  <w:num w:numId="8" w16cid:durableId="600645597">
    <w:abstractNumId w:val="11"/>
  </w:num>
  <w:num w:numId="9" w16cid:durableId="60325137">
    <w:abstractNumId w:val="5"/>
  </w:num>
  <w:num w:numId="10" w16cid:durableId="207030189">
    <w:abstractNumId w:val="14"/>
  </w:num>
  <w:num w:numId="11" w16cid:durableId="1978413801">
    <w:abstractNumId w:val="12"/>
  </w:num>
  <w:num w:numId="12" w16cid:durableId="1041127774">
    <w:abstractNumId w:val="7"/>
  </w:num>
  <w:num w:numId="13" w16cid:durableId="1503618348">
    <w:abstractNumId w:val="3"/>
  </w:num>
  <w:num w:numId="14" w16cid:durableId="1453523334">
    <w:abstractNumId w:val="4"/>
  </w:num>
  <w:num w:numId="15" w16cid:durableId="1658536161">
    <w:abstractNumId w:val="10"/>
  </w:num>
  <w:num w:numId="16" w16cid:durableId="1048651958">
    <w:abstractNumId w:val="0"/>
  </w:num>
  <w:num w:numId="17" w16cid:durableId="952663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17F8A"/>
    <w:rsid w:val="00017F8A"/>
    <w:rsid w:val="001F40F7"/>
    <w:rsid w:val="003952D9"/>
    <w:rsid w:val="0048268D"/>
    <w:rsid w:val="00491F01"/>
    <w:rsid w:val="006250E2"/>
    <w:rsid w:val="006B30BE"/>
    <w:rsid w:val="008F2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754DBC"/>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Bullets,P‡rrafo de lista,lp1,ANNEX,List Square,ADB paragraph numbering,List Paragraph (numbered (a)),Main numbered paragraph,Bullet,Numeracion iniciativas,ASPECTOS GENERALES,Cuadro 2-1,Párrafo de lista2,Footnote,Ha"/>
    <w:basedOn w:val="Normal"/>
    <w:link w:val="ListParagraphChar"/>
    <w:uiPriority w:val="34"/>
    <w:qFormat/>
    <w:rsid w:val="0048268D"/>
    <w:pPr>
      <w:ind w:left="720"/>
      <w:contextualSpacing/>
    </w:pPr>
  </w:style>
  <w:style w:type="table" w:styleId="TableGrid">
    <w:name w:val="Table Grid"/>
    <w:basedOn w:val="TableNormal"/>
    <w:uiPriority w:val="39"/>
    <w:rsid w:val="006B30BE"/>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List Paragraph1 Char,Bullets Char,P‡rrafo de lista Char,lp1 Char,ANNEX Char,List Square Char,ADB paragraph numbering Char,List Paragraph (numbered (a)) Char,Main numbered paragraph Char,Bullet Char,ASPECTOS GENERALES Char"/>
    <w:link w:val="ListParagraph"/>
    <w:uiPriority w:val="34"/>
    <w:qFormat/>
    <w:rsid w:val="006B30BE"/>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1F40F7"/>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1F40F7"/>
    <w:rPr>
      <w:sz w:val="20"/>
      <w:szCs w:val="20"/>
    </w:rPr>
  </w:style>
  <w:style w:type="character" w:styleId="FootnoteReference">
    <w:name w:val="footnote reference"/>
    <w:basedOn w:val="DefaultParagraphFont"/>
    <w:uiPriority w:val="99"/>
    <w:semiHidden/>
    <w:unhideWhenUsed/>
    <w:rsid w:val="001F40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3</cp:revision>
  <dcterms:created xsi:type="dcterms:W3CDTF">2024-05-31T12:38:00Z</dcterms:created>
  <dcterms:modified xsi:type="dcterms:W3CDTF">2024-06-02T23:04:00Z</dcterms:modified>
</cp:coreProperties>
</file>