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95AEA" w14:textId="77777777" w:rsidR="0046351B" w:rsidRDefault="00000000">
      <w:pPr>
        <w:spacing w:before="120" w:after="120"/>
        <w:jc w:val="center"/>
      </w:pPr>
      <w:r>
        <w:rPr>
          <w:noProof/>
        </w:rPr>
        <w:drawing>
          <wp:anchor distT="0" distB="0" distL="114300" distR="114300" simplePos="0" relativeHeight="251658240" behindDoc="0" locked="0" layoutInCell="1" allowOverlap="1" wp14:anchorId="5AA81B0A" wp14:editId="7E222CD0">
            <wp:simplePos x="0" y="0"/>
            <wp:positionH relativeFrom="page">
              <wp:posOffset>0</wp:posOffset>
            </wp:positionH>
            <wp:positionV relativeFrom="paragraph">
              <wp:posOffset>0</wp:posOffset>
            </wp:positionV>
            <wp:extent cx="7562850" cy="2268855"/>
            <wp:effectExtent l="0" t="0" r="0" b="0"/>
            <wp:wrapTopAndBottom/>
            <wp:docPr id="1" name="Drawing 0" descr="520e8e26e9f9dbc7f9677370b6c30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520e8e26e9f9dbc7f9677370b6c306a0.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2501A371" w14:textId="77777777" w:rsidR="0046351B" w:rsidRPr="002F1A6A" w:rsidRDefault="00000000">
      <w:pPr>
        <w:spacing w:before="120" w:after="120" w:line="336" w:lineRule="auto"/>
        <w:rPr>
          <w:rFonts w:ascii="Bodoni 72 Book" w:hAnsi="Bodoni 72 Book"/>
        </w:rPr>
      </w:pPr>
      <w:r w:rsidRPr="002F1A6A">
        <w:rPr>
          <w:rFonts w:ascii="Bodoni 72 Book" w:eastAsia="Prata" w:hAnsi="Bodoni 72 Book" w:cs="Prata"/>
          <w:color w:val="5B6C81"/>
          <w:sz w:val="64"/>
          <w:szCs w:val="64"/>
        </w:rPr>
        <w:t xml:space="preserve">Key Considerations  </w:t>
      </w:r>
    </w:p>
    <w:p w14:paraId="4AE7F71F" w14:textId="77777777" w:rsidR="0046351B" w:rsidRDefault="0046351B">
      <w:pPr>
        <w:pBdr>
          <w:bottom w:val="single" w:sz="6" w:space="0" w:color="5B6C81"/>
        </w:pBdr>
        <w:spacing w:before="120" w:after="120" w:line="0" w:lineRule="auto"/>
      </w:pPr>
    </w:p>
    <w:p w14:paraId="3A3380E1" w14:textId="51D44C19" w:rsidR="002F1A6A" w:rsidRPr="002F1A6A" w:rsidRDefault="002F1A6A" w:rsidP="002F1A6A">
      <w:pPr>
        <w:spacing w:before="120" w:after="120" w:line="336" w:lineRule="auto"/>
        <w:rPr>
          <w:rFonts w:ascii="Avenir Next" w:eastAsia="Montserrat" w:hAnsi="Avenir Next" w:cs="Montserrat"/>
          <w:i/>
          <w:iCs/>
          <w:color w:val="000000"/>
          <w:sz w:val="20"/>
          <w:szCs w:val="20"/>
        </w:rPr>
      </w:pPr>
      <w:r w:rsidRPr="002F1A6A">
        <w:rPr>
          <w:rFonts w:ascii="Avenir Next" w:eastAsia="Montserrat" w:hAnsi="Avenir Next" w:cs="Montserrat"/>
          <w:color w:val="000000"/>
          <w:sz w:val="20"/>
          <w:szCs w:val="20"/>
        </w:rPr>
        <w:t xml:space="preserve">UNFCCC safeguard ‘D’ refers to the full and effective participation of relevant stakeholders, in particular indigenous peoples and local communities. In addition, UNFCCC Decision 1/CP.16, paragraph 72 requests </w:t>
      </w:r>
      <w:r w:rsidRPr="002F1A6A">
        <w:rPr>
          <w:rFonts w:ascii="Avenir Next" w:eastAsia="Montserrat" w:hAnsi="Avenir Next" w:cs="Montserrat"/>
          <w:i/>
          <w:iCs/>
          <w:color w:val="000000"/>
          <w:sz w:val="20"/>
          <w:szCs w:val="20"/>
        </w:rPr>
        <w:t xml:space="preserve">developing country Parties, when developing and implementing their national strategies or action plans, to …ensure the full and effective participation of relevant stakeholders, inter alia indigenous peoples and local communities. </w:t>
      </w:r>
    </w:p>
    <w:p w14:paraId="1A164860" w14:textId="5A733087" w:rsidR="002F1A6A" w:rsidRPr="002F1A6A" w:rsidRDefault="002F1A6A" w:rsidP="002F1A6A">
      <w:p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color w:val="000000"/>
          <w:sz w:val="20"/>
          <w:szCs w:val="20"/>
        </w:rPr>
        <w:t xml:space="preserve">Integrating the voices of communities and individuals into project and </w:t>
      </w:r>
      <w:proofErr w:type="spellStart"/>
      <w:r w:rsidRPr="002F1A6A">
        <w:rPr>
          <w:rFonts w:ascii="Avenir Next" w:eastAsia="Montserrat" w:hAnsi="Avenir Next" w:cs="Montserrat"/>
          <w:color w:val="000000"/>
          <w:sz w:val="20"/>
          <w:szCs w:val="20"/>
        </w:rPr>
        <w:t>programme</w:t>
      </w:r>
      <w:proofErr w:type="spellEnd"/>
      <w:r w:rsidRPr="002F1A6A">
        <w:rPr>
          <w:rFonts w:ascii="Avenir Next" w:eastAsia="Montserrat" w:hAnsi="Avenir Next" w:cs="Montserrat"/>
          <w:color w:val="000000"/>
          <w:sz w:val="20"/>
          <w:szCs w:val="20"/>
        </w:rPr>
        <w:t xml:space="preserve"> design and implementation is an essential component of internationally </w:t>
      </w:r>
      <w:proofErr w:type="spellStart"/>
      <w:r w:rsidRPr="002F1A6A">
        <w:rPr>
          <w:rFonts w:ascii="Avenir Next" w:eastAsia="Montserrat" w:hAnsi="Avenir Next" w:cs="Montserrat"/>
          <w:color w:val="000000"/>
          <w:sz w:val="20"/>
          <w:szCs w:val="20"/>
        </w:rPr>
        <w:t>recognised</w:t>
      </w:r>
      <w:proofErr w:type="spellEnd"/>
      <w:r w:rsidRPr="002F1A6A">
        <w:rPr>
          <w:rFonts w:ascii="Avenir Next" w:eastAsia="Montserrat" w:hAnsi="Avenir Next" w:cs="Montserrat"/>
          <w:color w:val="000000"/>
          <w:sz w:val="20"/>
          <w:szCs w:val="20"/>
        </w:rPr>
        <w:t xml:space="preserve"> safeguard policies, norms and practices. By engaging early and often with stakeholders, J-REDD+ programs can develop interactive and constructive processes to ensure that people are well</w:t>
      </w:r>
      <w:r w:rsidR="00EA5B40">
        <w:rPr>
          <w:rFonts w:ascii="Avenir Next" w:eastAsia="Montserrat" w:hAnsi="Avenir Next" w:cs="Montserrat"/>
          <w:color w:val="000000"/>
          <w:sz w:val="20"/>
          <w:szCs w:val="20"/>
        </w:rPr>
        <w:t>-</w:t>
      </w:r>
      <w:r w:rsidRPr="002F1A6A">
        <w:rPr>
          <w:rFonts w:ascii="Avenir Next" w:eastAsia="Montserrat" w:hAnsi="Avenir Next" w:cs="Montserrat"/>
          <w:color w:val="000000"/>
          <w:sz w:val="20"/>
          <w:szCs w:val="20"/>
        </w:rPr>
        <w:t xml:space="preserve">informed, their ideas are advanced, and their concerns are heard and addressed. </w:t>
      </w:r>
    </w:p>
    <w:p w14:paraId="55312E29" w14:textId="46990008" w:rsidR="002F1A6A" w:rsidRPr="002F1A6A" w:rsidRDefault="002F1A6A" w:rsidP="002F1A6A">
      <w:p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color w:val="000000"/>
          <w:sz w:val="20"/>
          <w:szCs w:val="20"/>
        </w:rPr>
        <w:t xml:space="preserve">For purposes of demonstrating conformance with these UNFCCC requirements, Jurisdictional REDD+ (J-REDD+) programs are expected to put in place tools and processes in alignment with international best practices. International best practices recognize </w:t>
      </w:r>
      <w:proofErr w:type="gramStart"/>
      <w:r w:rsidRPr="002F1A6A">
        <w:rPr>
          <w:rFonts w:ascii="Avenir Next" w:eastAsia="Montserrat" w:hAnsi="Avenir Next" w:cs="Montserrat"/>
          <w:color w:val="000000"/>
          <w:sz w:val="20"/>
          <w:szCs w:val="20"/>
        </w:rPr>
        <w:t>a number of</w:t>
      </w:r>
      <w:proofErr w:type="gramEnd"/>
      <w:r w:rsidRPr="002F1A6A">
        <w:rPr>
          <w:rFonts w:ascii="Avenir Next" w:eastAsia="Montserrat" w:hAnsi="Avenir Next" w:cs="Montserrat"/>
          <w:color w:val="000000"/>
          <w:sz w:val="20"/>
          <w:szCs w:val="20"/>
        </w:rPr>
        <w:t xml:space="preserve"> tools</w:t>
      </w:r>
      <w:r>
        <w:rPr>
          <w:rStyle w:val="FootnoteReference"/>
          <w:rFonts w:ascii="Avenir Next" w:eastAsia="Montserrat" w:hAnsi="Avenir Next" w:cs="Montserrat"/>
          <w:color w:val="000000"/>
          <w:sz w:val="20"/>
          <w:szCs w:val="20"/>
        </w:rPr>
        <w:footnoteReference w:id="1"/>
      </w:r>
      <w:r>
        <w:rPr>
          <w:rStyle w:val="FootnoteReference"/>
          <w:rFonts w:ascii="Avenir Next" w:eastAsia="Montserrat" w:hAnsi="Avenir Next" w:cs="Montserrat"/>
          <w:color w:val="000000"/>
          <w:sz w:val="20"/>
          <w:szCs w:val="20"/>
        </w:rPr>
        <w:footnoteReference w:id="2"/>
      </w:r>
      <w:r>
        <w:rPr>
          <w:rStyle w:val="FootnoteReference"/>
          <w:rFonts w:ascii="Avenir Next" w:eastAsia="Montserrat" w:hAnsi="Avenir Next" w:cs="Montserrat"/>
          <w:color w:val="000000"/>
          <w:sz w:val="20"/>
          <w:szCs w:val="20"/>
        </w:rPr>
        <w:footnoteReference w:id="3"/>
      </w:r>
      <w:r w:rsidRPr="002F1A6A">
        <w:rPr>
          <w:rFonts w:ascii="Avenir Next" w:eastAsia="Montserrat" w:hAnsi="Avenir Next" w:cs="Montserrat"/>
          <w:color w:val="000000"/>
          <w:sz w:val="20"/>
          <w:szCs w:val="20"/>
        </w:rPr>
        <w:t>:</w:t>
      </w:r>
    </w:p>
    <w:p w14:paraId="74BD0BB9" w14:textId="77777777" w:rsidR="002F1A6A" w:rsidRPr="002F1A6A" w:rsidRDefault="002F1A6A" w:rsidP="002F1A6A">
      <w:pPr>
        <w:pStyle w:val="ListParagraph"/>
        <w:numPr>
          <w:ilvl w:val="0"/>
          <w:numId w:val="11"/>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b/>
          <w:bCs/>
          <w:color w:val="000000"/>
          <w:sz w:val="20"/>
          <w:szCs w:val="20"/>
        </w:rPr>
        <w:t>Stakeholder identification and analysis:</w:t>
      </w:r>
      <w:r w:rsidRPr="002F1A6A">
        <w:rPr>
          <w:rFonts w:ascii="Avenir Next" w:eastAsia="Montserrat" w:hAnsi="Avenir Next" w:cs="Montserrat"/>
          <w:color w:val="000000"/>
          <w:sz w:val="20"/>
          <w:szCs w:val="20"/>
        </w:rPr>
        <w:t xml:space="preserve"> can be used to identify who should be engaged in relation to the J- REDD+ program, and map their priority issues, rights, needs and desires. Particular attention needs to be given to the inclusion of indigenous peoples and other forest-dependent communities, women and other marginalized groups. Stakeholder groups should be supported to self-select representatives where appropriate.</w:t>
      </w:r>
    </w:p>
    <w:p w14:paraId="378C0F5D" w14:textId="6601D638" w:rsidR="002F1A6A" w:rsidRPr="002F1A6A" w:rsidRDefault="002F1A6A" w:rsidP="002F1A6A">
      <w:pPr>
        <w:pStyle w:val="ListParagraph"/>
        <w:numPr>
          <w:ilvl w:val="0"/>
          <w:numId w:val="11"/>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b/>
          <w:bCs/>
          <w:color w:val="000000"/>
          <w:sz w:val="20"/>
          <w:szCs w:val="20"/>
        </w:rPr>
        <w:lastRenderedPageBreak/>
        <w:t xml:space="preserve">Stakeholder engagement </w:t>
      </w:r>
      <w:proofErr w:type="gramStart"/>
      <w:r w:rsidRPr="002F1A6A">
        <w:rPr>
          <w:rFonts w:ascii="Avenir Next" w:eastAsia="Montserrat" w:hAnsi="Avenir Next" w:cs="Montserrat"/>
          <w:b/>
          <w:bCs/>
          <w:color w:val="000000"/>
          <w:sz w:val="20"/>
          <w:szCs w:val="20"/>
        </w:rPr>
        <w:t>plan:</w:t>
      </w:r>
      <w:proofErr w:type="gramEnd"/>
      <w:r w:rsidRPr="002F1A6A">
        <w:rPr>
          <w:rFonts w:ascii="Avenir Next" w:eastAsia="Montserrat" w:hAnsi="Avenir Next" w:cs="Montserrat"/>
          <w:color w:val="000000"/>
          <w:sz w:val="20"/>
          <w:szCs w:val="20"/>
        </w:rPr>
        <w:t xml:space="preserve"> determines the principles and approaches that will be used to ensure the meaningful participation of stakeholders, noting consultations with indigenous peoples must be carried out through their own existing processes, organizations and institutions. The stakeholder engagement plan may encompass the set-up of representation bodies or platforms, such as multi-stakeholder platforms (MSPs)</w:t>
      </w:r>
      <w:r>
        <w:rPr>
          <w:rStyle w:val="FootnoteReference"/>
          <w:rFonts w:ascii="Avenir Next" w:eastAsia="Montserrat" w:hAnsi="Avenir Next" w:cs="Montserrat"/>
          <w:color w:val="000000"/>
          <w:sz w:val="20"/>
          <w:szCs w:val="20"/>
        </w:rPr>
        <w:footnoteReference w:id="4"/>
      </w:r>
      <w:r w:rsidRPr="002F1A6A">
        <w:rPr>
          <w:rFonts w:ascii="Avenir Next" w:eastAsia="Montserrat" w:hAnsi="Avenir Next" w:cs="Montserrat"/>
          <w:color w:val="000000"/>
          <w:sz w:val="20"/>
          <w:szCs w:val="20"/>
        </w:rPr>
        <w:t>, which can serve as participatory structures and mechanisms to facilitate the full and effective participation of stakeholders.</w:t>
      </w:r>
    </w:p>
    <w:p w14:paraId="146A9DFA" w14:textId="77777777" w:rsidR="002F1A6A" w:rsidRPr="002F1A6A" w:rsidRDefault="002F1A6A" w:rsidP="002F1A6A">
      <w:pPr>
        <w:pStyle w:val="ListParagraph"/>
        <w:numPr>
          <w:ilvl w:val="0"/>
          <w:numId w:val="11"/>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b/>
          <w:bCs/>
          <w:color w:val="000000"/>
          <w:sz w:val="20"/>
          <w:szCs w:val="20"/>
        </w:rPr>
        <w:t>Information disclosure:</w:t>
      </w:r>
      <w:r w:rsidRPr="002F1A6A">
        <w:rPr>
          <w:rFonts w:ascii="Avenir Next" w:eastAsia="Montserrat" w:hAnsi="Avenir Next" w:cs="Montserrat"/>
          <w:color w:val="000000"/>
          <w:sz w:val="20"/>
          <w:szCs w:val="20"/>
        </w:rPr>
        <w:t xml:space="preserve"> Disclosure is a formal-sounding term for making information accessible to interested and affected parties. Communicating such information in a manner that is understandable to stakeholders is an important first (and ongoing) step in the process of stakeholder engagement. All other activities, from consultation and informed participation to negotiation and resolution of grievances, will be more constructive if stakeholders, including affected communities, have accurate and timely information about the J-REDD+ program, its impacts, and any other aspects that may </w:t>
      </w:r>
      <w:proofErr w:type="gramStart"/>
      <w:r w:rsidRPr="002F1A6A">
        <w:rPr>
          <w:rFonts w:ascii="Avenir Next" w:eastAsia="Montserrat" w:hAnsi="Avenir Next" w:cs="Montserrat"/>
          <w:color w:val="000000"/>
          <w:sz w:val="20"/>
          <w:szCs w:val="20"/>
        </w:rPr>
        <w:t>have an effect on</w:t>
      </w:r>
      <w:proofErr w:type="gramEnd"/>
      <w:r w:rsidRPr="002F1A6A">
        <w:rPr>
          <w:rFonts w:ascii="Avenir Next" w:eastAsia="Montserrat" w:hAnsi="Avenir Next" w:cs="Montserrat"/>
          <w:color w:val="000000"/>
          <w:sz w:val="20"/>
          <w:szCs w:val="20"/>
        </w:rPr>
        <w:t xml:space="preserve"> them. </w:t>
      </w:r>
    </w:p>
    <w:p w14:paraId="149EAFCA" w14:textId="7AA928D9" w:rsidR="002F1A6A" w:rsidRPr="002F1A6A" w:rsidRDefault="002F1A6A" w:rsidP="002F1A6A">
      <w:pPr>
        <w:pStyle w:val="ListParagraph"/>
        <w:numPr>
          <w:ilvl w:val="0"/>
          <w:numId w:val="11"/>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b/>
          <w:bCs/>
          <w:color w:val="000000"/>
          <w:sz w:val="20"/>
          <w:szCs w:val="20"/>
        </w:rPr>
        <w:t>Access to grievance redress mechanisms (GRMs):</w:t>
      </w:r>
      <w:r w:rsidRPr="002F1A6A">
        <w:rPr>
          <w:rFonts w:ascii="Avenir Next" w:eastAsia="Montserrat" w:hAnsi="Avenir Next" w:cs="Montserrat"/>
          <w:color w:val="000000"/>
          <w:sz w:val="20"/>
          <w:szCs w:val="20"/>
        </w:rPr>
        <w:t xml:space="preserve"> GRMs act as recourse for situations in which, despite proactive stakeholder engagement, some stakeholders have a concern about a project or program’s potential impacts on them. Tool 5 examines the quality of available GRMs.</w:t>
      </w:r>
    </w:p>
    <w:p w14:paraId="797FB75D" w14:textId="77777777" w:rsidR="002F1A6A" w:rsidRDefault="002F1A6A" w:rsidP="002F1A6A">
      <w:p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color w:val="000000"/>
          <w:sz w:val="20"/>
          <w:szCs w:val="20"/>
        </w:rPr>
        <w:t>This tool is therefore intended to help J-REDD+ programs better understand:</w:t>
      </w:r>
    </w:p>
    <w:p w14:paraId="05849303" w14:textId="77777777" w:rsidR="002F1A6A" w:rsidRDefault="002F1A6A" w:rsidP="002F1A6A">
      <w:pPr>
        <w:pStyle w:val="ListParagraph"/>
        <w:numPr>
          <w:ilvl w:val="0"/>
          <w:numId w:val="15"/>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color w:val="000000"/>
          <w:sz w:val="20"/>
          <w:szCs w:val="20"/>
        </w:rPr>
        <w:t xml:space="preserve">The level of alignment of their participatory approaches with international best </w:t>
      </w:r>
      <w:proofErr w:type="gramStart"/>
      <w:r w:rsidRPr="002F1A6A">
        <w:rPr>
          <w:rFonts w:ascii="Avenir Next" w:eastAsia="Montserrat" w:hAnsi="Avenir Next" w:cs="Montserrat"/>
          <w:color w:val="000000"/>
          <w:sz w:val="20"/>
          <w:szCs w:val="20"/>
        </w:rPr>
        <w:t>practices;</w:t>
      </w:r>
      <w:proofErr w:type="gramEnd"/>
    </w:p>
    <w:p w14:paraId="115332EA" w14:textId="3DAF34AD" w:rsidR="0046351B" w:rsidRPr="002F1A6A" w:rsidRDefault="002F1A6A" w:rsidP="002F1A6A">
      <w:pPr>
        <w:pStyle w:val="ListParagraph"/>
        <w:numPr>
          <w:ilvl w:val="0"/>
          <w:numId w:val="15"/>
        </w:numPr>
        <w:spacing w:before="120" w:after="120" w:line="336" w:lineRule="auto"/>
        <w:rPr>
          <w:rFonts w:ascii="Avenir Next" w:eastAsia="Montserrat" w:hAnsi="Avenir Next" w:cs="Montserrat"/>
          <w:color w:val="000000"/>
          <w:sz w:val="20"/>
          <w:szCs w:val="20"/>
        </w:rPr>
      </w:pPr>
      <w:r w:rsidRPr="002F1A6A">
        <w:rPr>
          <w:rFonts w:ascii="Avenir Next" w:eastAsia="Montserrat" w:hAnsi="Avenir Next" w:cs="Montserrat"/>
          <w:color w:val="000000"/>
          <w:sz w:val="20"/>
          <w:szCs w:val="20"/>
        </w:rPr>
        <w:t>Identify any gaps, weaknesses and/or possible inconsistencies in these arrangements, and identify recommendations to address these.</w:t>
      </w:r>
    </w:p>
    <w:p w14:paraId="3FD50856" w14:textId="77777777" w:rsidR="0046351B" w:rsidRPr="002F1A6A" w:rsidRDefault="00000000">
      <w:pPr>
        <w:spacing w:before="120" w:after="120" w:line="336" w:lineRule="auto"/>
        <w:rPr>
          <w:rFonts w:ascii="Bodoni 72 Book" w:hAnsi="Bodoni 72 Book"/>
        </w:rPr>
      </w:pPr>
      <w:r w:rsidRPr="002F1A6A">
        <w:rPr>
          <w:rFonts w:ascii="Bodoni 72 Book" w:eastAsia="Prata" w:hAnsi="Bodoni 72 Book" w:cs="Prata"/>
          <w:color w:val="5B6C81"/>
          <w:sz w:val="64"/>
          <w:szCs w:val="64"/>
        </w:rPr>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46351B" w14:paraId="0561243D" w14:textId="77777777">
        <w:tc>
          <w:tcPr>
            <w:tcW w:w="9030" w:type="dxa"/>
            <w:shd w:val="clear" w:color="auto" w:fill="5B6C81"/>
            <w:tcMar>
              <w:top w:w="180" w:type="dxa"/>
              <w:left w:w="180" w:type="dxa"/>
              <w:bottom w:w="180" w:type="dxa"/>
              <w:right w:w="180" w:type="dxa"/>
            </w:tcMar>
          </w:tcPr>
          <w:p w14:paraId="75F12096" w14:textId="77777777" w:rsidR="002F1A6A" w:rsidRPr="002F1A6A" w:rsidRDefault="00000000" w:rsidP="002F1A6A">
            <w:pPr>
              <w:spacing w:before="120" w:after="120" w:line="336" w:lineRule="auto"/>
              <w:rPr>
                <w:rFonts w:ascii="Avenir Next" w:eastAsia="IBM Plex Sans" w:hAnsi="Avenir Next" w:cs="IBM Plex Sans"/>
                <w:color w:val="FFFFFF"/>
                <w:sz w:val="20"/>
                <w:szCs w:val="20"/>
              </w:rPr>
            </w:pPr>
            <w:r w:rsidRPr="002F1A6A">
              <w:rPr>
                <w:rFonts w:ascii="Avenir Next" w:eastAsia="IBM Plex Sans" w:hAnsi="Avenir Next" w:cs="IBM Plex Sans"/>
                <w:color w:val="FFFFFF"/>
                <w:sz w:val="20"/>
                <w:szCs w:val="20"/>
              </w:rPr>
              <w:t xml:space="preserve">This tool is divided into two sections: </w:t>
            </w:r>
          </w:p>
          <w:p w14:paraId="6018856F" w14:textId="77777777" w:rsidR="002F1A6A" w:rsidRPr="002F1A6A" w:rsidRDefault="00000000" w:rsidP="002F1A6A">
            <w:pPr>
              <w:pStyle w:val="ListParagraph"/>
              <w:numPr>
                <w:ilvl w:val="0"/>
                <w:numId w:val="14"/>
              </w:numPr>
              <w:spacing w:before="120" w:after="120" w:line="336" w:lineRule="auto"/>
              <w:rPr>
                <w:rFonts w:ascii="Avenir Next" w:eastAsia="IBM Plex Sans" w:hAnsi="Avenir Next" w:cs="IBM Plex Sans"/>
                <w:color w:val="FFFFFF"/>
                <w:sz w:val="20"/>
                <w:szCs w:val="20"/>
              </w:rPr>
            </w:pPr>
            <w:r w:rsidRPr="002F1A6A">
              <w:rPr>
                <w:rFonts w:ascii="Avenir Next" w:eastAsia="IBM Plex Sans Bold" w:hAnsi="Avenir Next" w:cs="IBM Plex Sans Bold"/>
                <w:b/>
                <w:bCs/>
                <w:color w:val="FFFFFF"/>
                <w:sz w:val="20"/>
                <w:szCs w:val="20"/>
              </w:rPr>
              <w:t>Section A:</w:t>
            </w:r>
            <w:r w:rsidRPr="002F1A6A">
              <w:rPr>
                <w:rFonts w:ascii="Avenir Next" w:eastAsia="IBM Plex Sans" w:hAnsi="Avenir Next" w:cs="IBM Plex Sans"/>
                <w:color w:val="FFFFFF"/>
                <w:sz w:val="20"/>
                <w:szCs w:val="20"/>
              </w:rPr>
              <w:t xml:space="preserve"> presents a questionnaire, which guides users through the technical qualitative assessment of </w:t>
            </w:r>
            <w:r w:rsidR="002F1A6A" w:rsidRPr="002F1A6A">
              <w:rPr>
                <w:rFonts w:ascii="Avenir Next" w:eastAsia="IBM Plex Sans" w:hAnsi="Avenir Next" w:cs="IBM Plex Sans"/>
                <w:color w:val="FFFFFF"/>
                <w:sz w:val="20"/>
                <w:szCs w:val="20"/>
              </w:rPr>
              <w:t>their participatory approaches.</w:t>
            </w:r>
          </w:p>
          <w:p w14:paraId="41B2D9FA" w14:textId="6C5D0CD5" w:rsidR="0046351B" w:rsidRPr="002F1A6A" w:rsidRDefault="00000000" w:rsidP="002F1A6A">
            <w:pPr>
              <w:pStyle w:val="ListParagraph"/>
              <w:numPr>
                <w:ilvl w:val="0"/>
                <w:numId w:val="14"/>
              </w:numPr>
              <w:spacing w:before="120" w:after="120" w:line="336" w:lineRule="auto"/>
              <w:rPr>
                <w:rFonts w:ascii="IBM Plex Sans" w:eastAsia="IBM Plex Sans" w:hAnsi="IBM Plex Sans" w:cs="IBM Plex Sans"/>
                <w:color w:val="FFFFFF"/>
                <w:sz w:val="22"/>
                <w:szCs w:val="22"/>
              </w:rPr>
            </w:pPr>
            <w:r w:rsidRPr="002F1A6A">
              <w:rPr>
                <w:rFonts w:ascii="Avenir Next" w:eastAsia="IBM Plex Sans Bold" w:hAnsi="Avenir Next" w:cs="IBM Plex Sans Bold"/>
                <w:b/>
                <w:bCs/>
                <w:color w:val="FFFFFF"/>
                <w:sz w:val="20"/>
                <w:szCs w:val="20"/>
              </w:rPr>
              <w:t>Section B</w:t>
            </w:r>
            <w:r w:rsidRPr="002F1A6A">
              <w:rPr>
                <w:rFonts w:ascii="Avenir Next" w:eastAsia="IBM Plex Sans" w:hAnsi="Avenir Next" w:cs="IBM Plex Sans"/>
                <w:color w:val="FFFFFF"/>
                <w:sz w:val="20"/>
                <w:szCs w:val="20"/>
              </w:rPr>
              <w:t>: presents a report template, that is to be completed based on the results from Section ‘A</w:t>
            </w:r>
            <w:proofErr w:type="gramStart"/>
            <w:r w:rsidRPr="002F1A6A">
              <w:rPr>
                <w:rFonts w:ascii="Avenir Next" w:eastAsia="IBM Plex Sans" w:hAnsi="Avenir Next" w:cs="IBM Plex Sans"/>
                <w:color w:val="FFFFFF"/>
                <w:sz w:val="20"/>
                <w:szCs w:val="20"/>
              </w:rPr>
              <w:t>’, and</w:t>
            </w:r>
            <w:proofErr w:type="gramEnd"/>
            <w:r w:rsidRPr="002F1A6A">
              <w:rPr>
                <w:rFonts w:ascii="Avenir Next" w:eastAsia="IBM Plex Sans" w:hAnsi="Avenir Next" w:cs="IBM Plex Sans"/>
                <w:color w:val="FFFFFF"/>
                <w:sz w:val="20"/>
                <w:szCs w:val="20"/>
              </w:rPr>
              <w:t xml:space="preserve"> will inform the development of</w:t>
            </w:r>
            <w:r w:rsidR="002F1A6A">
              <w:rPr>
                <w:rFonts w:ascii="Avenir Next" w:eastAsia="IBM Plex Sans" w:hAnsi="Avenir Next" w:cs="IBM Plex Sans"/>
                <w:color w:val="FFFFFF"/>
                <w:sz w:val="20"/>
                <w:szCs w:val="20"/>
              </w:rPr>
              <w:t xml:space="preserve"> </w:t>
            </w:r>
            <w:r w:rsidRPr="002F1A6A">
              <w:rPr>
                <w:rFonts w:ascii="Avenir Next" w:eastAsia="IBM Plex Sans" w:hAnsi="Avenir Next" w:cs="IBM Plex Sans"/>
                <w:color w:val="FFFFFF"/>
                <w:sz w:val="20"/>
                <w:szCs w:val="20"/>
              </w:rPr>
              <w:t>the J-REDD+ roadmap (Tool 8).</w:t>
            </w:r>
            <w:r w:rsidRPr="002F1A6A">
              <w:rPr>
                <w:rFonts w:ascii="IBM Plex Sans" w:eastAsia="IBM Plex Sans" w:hAnsi="IBM Plex Sans" w:cs="IBM Plex Sans"/>
                <w:color w:val="FFFFFF"/>
                <w:sz w:val="22"/>
                <w:szCs w:val="22"/>
              </w:rPr>
              <w:t xml:space="preserve"> </w:t>
            </w:r>
          </w:p>
        </w:tc>
      </w:tr>
    </w:tbl>
    <w:p w14:paraId="19D3253C" w14:textId="77777777" w:rsidR="002F1A6A" w:rsidRPr="00031D7C" w:rsidRDefault="002F1A6A" w:rsidP="002F1A6A">
      <w:pPr>
        <w:spacing w:before="120" w:after="120" w:line="336" w:lineRule="auto"/>
        <w:rPr>
          <w:rFonts w:ascii="Bodoni 72 Book" w:hAnsi="Bodoni 72 Book"/>
          <w:color w:val="0D666D"/>
        </w:rPr>
      </w:pPr>
      <w:r w:rsidRPr="00031D7C">
        <w:rPr>
          <w:rFonts w:ascii="Bodoni 72 Book" w:eastAsia="Montserrat" w:hAnsi="Bodoni 72 Book" w:cs="Montserrat"/>
          <w:color w:val="0D666D"/>
          <w:sz w:val="64"/>
          <w:szCs w:val="64"/>
        </w:rPr>
        <w:lastRenderedPageBreak/>
        <w:t xml:space="preserve">Section A - Questionnaire </w:t>
      </w:r>
    </w:p>
    <w:p w14:paraId="544829EA" w14:textId="4C3EF7BC" w:rsidR="002F1A6A" w:rsidRPr="00031D7C" w:rsidRDefault="002F1A6A" w:rsidP="002F1A6A">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The questionnaire is structured in different characteristics, which correlate with</w:t>
      </w:r>
      <w:r>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rPr>
        <w:t xml:space="preserve">international best practices. </w:t>
      </w:r>
    </w:p>
    <w:p w14:paraId="6F7CDBE8" w14:textId="77777777" w:rsidR="002F1A6A" w:rsidRPr="00031D7C" w:rsidRDefault="002F1A6A" w:rsidP="002F1A6A">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240D54AF" w14:textId="0DC10611" w:rsidR="002F1A6A" w:rsidRPr="00031D7C" w:rsidRDefault="002F1A6A" w:rsidP="002F1A6A">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Note that use of </w:t>
      </w:r>
      <w:r w:rsidR="00EA5B40">
        <w:rPr>
          <w:rFonts w:ascii="Avenir Next" w:eastAsia="IBM Plex Sans" w:hAnsi="Avenir Next" w:cs="IBM Plex Sans"/>
          <w:color w:val="000000"/>
          <w:sz w:val="20"/>
          <w:szCs w:val="20"/>
        </w:rPr>
        <w:t xml:space="preserve">the </w:t>
      </w:r>
      <w:r w:rsidRPr="00031D7C">
        <w:rPr>
          <w:rFonts w:ascii="Avenir Next" w:eastAsia="IBM Plex Sans" w:hAnsi="Avenir Next" w:cs="IBM Plex Sans"/>
          <w:color w:val="000000"/>
          <w:sz w:val="20"/>
          <w:szCs w:val="20"/>
        </w:rPr>
        <w:t xml:space="preserve">term ‘equivalent’ refers to a sub-national ‘reporting system’. </w:t>
      </w:r>
    </w:p>
    <w:p w14:paraId="2E768BBA" w14:textId="77777777" w:rsidR="002F1A6A" w:rsidRPr="00031D7C" w:rsidRDefault="002F1A6A" w:rsidP="002F1A6A">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14DB235C" w14:textId="481A4A68" w:rsidR="002F1A6A" w:rsidRPr="00031D7C" w:rsidRDefault="002F1A6A" w:rsidP="002F1A6A">
      <w:pPr>
        <w:numPr>
          <w:ilvl w:val="1"/>
          <w:numId w:val="16"/>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33D6EF19" wp14:editId="401535D2">
            <wp:simplePos x="0" y="0"/>
            <wp:positionH relativeFrom="column">
              <wp:posOffset>5111838</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 xml:space="preserve">participatory approach </w:t>
      </w:r>
      <w:r w:rsidRPr="00031D7C">
        <w:rPr>
          <w:rFonts w:ascii="Avenir Next" w:eastAsia="IBM Plex Sans" w:hAnsi="Avenir Next" w:cs="IBM Plex Sans"/>
          <w:color w:val="000000"/>
          <w:sz w:val="20"/>
          <w:szCs w:val="20"/>
        </w:rPr>
        <w:t xml:space="preserve">incorporates this aspect in conformance with relevant guidance and/or best practices.  </w:t>
      </w:r>
    </w:p>
    <w:p w14:paraId="35E82A28" w14:textId="50361F46" w:rsidR="002F1A6A" w:rsidRPr="00031D7C" w:rsidRDefault="002F1A6A" w:rsidP="002F1A6A">
      <w:pPr>
        <w:numPr>
          <w:ilvl w:val="1"/>
          <w:numId w:val="16"/>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 xml:space="preserve">participatory approach partially </w:t>
      </w:r>
      <w:r w:rsidRPr="00031D7C">
        <w:rPr>
          <w:rFonts w:ascii="Avenir Next" w:eastAsia="IBM Plex Sans" w:hAnsi="Avenir Next" w:cs="IBM Plex Sans"/>
          <w:color w:val="000000"/>
          <w:sz w:val="20"/>
          <w:szCs w:val="20"/>
        </w:rPr>
        <w:t xml:space="preserve">incorporates this aspect in conformance with relevant guidance and/or best practices. There are some gaps that need to be addressed.  </w:t>
      </w:r>
    </w:p>
    <w:p w14:paraId="26A6210A" w14:textId="08E72E35" w:rsidR="002F1A6A" w:rsidRPr="00031D7C" w:rsidRDefault="002F1A6A" w:rsidP="002F1A6A">
      <w:pPr>
        <w:numPr>
          <w:ilvl w:val="1"/>
          <w:numId w:val="16"/>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190A9946" wp14:editId="528ED277">
            <wp:simplePos x="0" y="0"/>
            <wp:positionH relativeFrom="column">
              <wp:posOffset>4868107</wp:posOffset>
            </wp:positionH>
            <wp:positionV relativeFrom="paragraph">
              <wp:posOffset>168910</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participatory approach</w:t>
      </w:r>
      <w:r w:rsidRPr="00031D7C">
        <w:rPr>
          <w:rFonts w:ascii="Avenir Next" w:eastAsia="IBM Plex Sans" w:hAnsi="Avenir Next" w:cs="IBM Plex Sans"/>
          <w:color w:val="000000"/>
          <w:sz w:val="20"/>
          <w:szCs w:val="20"/>
        </w:rPr>
        <w:t xml:space="preserve"> does not incorporate this aspect in conformance with relevant guidance and/or best practices, and there are notable gaps that need to be addressed to ensure full conformance.  </w:t>
      </w:r>
    </w:p>
    <w:p w14:paraId="4E4E54AC" w14:textId="5890EE6F" w:rsidR="002F1A6A" w:rsidRPr="00031D7C" w:rsidRDefault="002F1A6A" w:rsidP="002F1A6A">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EA5B40">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EA5B40">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2E1334BC" w14:textId="77777777" w:rsidR="002F1A6A" w:rsidRPr="00C878E5" w:rsidRDefault="002F1A6A" w:rsidP="002F1A6A">
      <w:pPr>
        <w:numPr>
          <w:ilvl w:val="0"/>
          <w:numId w:val="16"/>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3ADE9736" w14:textId="77777777" w:rsidR="002F1A6A" w:rsidRDefault="002F1A6A">
      <w:pPr>
        <w:spacing w:before="120" w:after="120" w:line="336" w:lineRule="auto"/>
        <w:rPr>
          <w:rFonts w:ascii="Montserrat" w:eastAsia="Montserrat" w:hAnsi="Montserrat" w:cs="Montserrat"/>
          <w:color w:val="5B6C81"/>
          <w:sz w:val="64"/>
          <w:szCs w:val="64"/>
        </w:rPr>
      </w:pPr>
    </w:p>
    <w:p w14:paraId="416F7C54" w14:textId="77777777" w:rsidR="002F1A6A" w:rsidRDefault="002F1A6A">
      <w:pPr>
        <w:spacing w:before="120" w:after="120" w:line="336" w:lineRule="auto"/>
        <w:rPr>
          <w:rFonts w:ascii="Montserrat" w:eastAsia="Montserrat" w:hAnsi="Montserrat" w:cs="Montserrat"/>
          <w:color w:val="5B6C81"/>
          <w:sz w:val="64"/>
          <w:szCs w:val="64"/>
        </w:rPr>
      </w:pPr>
    </w:p>
    <w:p w14:paraId="6B323611" w14:textId="77777777" w:rsidR="002F1A6A" w:rsidRDefault="002F1A6A">
      <w:pPr>
        <w:spacing w:before="120" w:after="120" w:line="336" w:lineRule="auto"/>
        <w:rPr>
          <w:rFonts w:ascii="Montserrat" w:eastAsia="Montserrat" w:hAnsi="Montserrat" w:cs="Montserrat"/>
          <w:color w:val="5B6C81"/>
          <w:sz w:val="64"/>
          <w:szCs w:val="64"/>
        </w:rPr>
      </w:pPr>
    </w:p>
    <w:p w14:paraId="28891CAE" w14:textId="77777777" w:rsidR="002F1A6A" w:rsidRDefault="002F1A6A">
      <w:pPr>
        <w:spacing w:before="120" w:after="120" w:line="336" w:lineRule="auto"/>
        <w:rPr>
          <w:rFonts w:ascii="Montserrat" w:eastAsia="Montserrat" w:hAnsi="Montserrat" w:cs="Montserrat"/>
          <w:color w:val="5B6C81"/>
          <w:sz w:val="64"/>
          <w:szCs w:val="64"/>
        </w:rPr>
        <w:sectPr w:rsidR="002F1A6A" w:rsidSect="00D7443A">
          <w:pgSz w:w="11910" w:h="16845"/>
          <w:pgMar w:top="1440" w:right="1440" w:bottom="1440" w:left="1440" w:header="720" w:footer="720" w:gutter="0"/>
          <w:cols w:space="720"/>
        </w:sectPr>
      </w:pPr>
    </w:p>
    <w:p w14:paraId="2FA8599E" w14:textId="62EE47DC" w:rsidR="0046351B" w:rsidRPr="002F1A6A" w:rsidRDefault="002F1A6A">
      <w:pPr>
        <w:spacing w:before="120" w:after="120" w:line="336" w:lineRule="auto"/>
        <w:rPr>
          <w:rFonts w:ascii="Bodoni 72 Book" w:hAnsi="Bodoni 72 Book"/>
        </w:rPr>
      </w:pPr>
      <w:r>
        <w:rPr>
          <w:rFonts w:ascii="Bodoni 72 Book" w:eastAsia="Montserrat" w:hAnsi="Bodoni 72 Book" w:cs="Montserrat"/>
          <w:color w:val="5B6C81"/>
          <w:sz w:val="64"/>
          <w:szCs w:val="64"/>
        </w:rPr>
        <w:lastRenderedPageBreak/>
        <w:t xml:space="preserve">Questionnaire </w:t>
      </w:r>
    </w:p>
    <w:p w14:paraId="6882CF7F" w14:textId="77777777" w:rsidR="0046351B" w:rsidRDefault="0046351B">
      <w:pPr>
        <w:pBdr>
          <w:bottom w:val="single" w:sz="6" w:space="0" w:color="5B6C81"/>
        </w:pBdr>
        <w:spacing w:before="120" w:after="120" w:line="0" w:lineRule="auto"/>
      </w:pPr>
    </w:p>
    <w:tbl>
      <w:tblPr>
        <w:tblStyle w:val="TableGrid"/>
        <w:tblW w:w="14312" w:type="dxa"/>
        <w:tblBorders>
          <w:top w:val="single" w:sz="6" w:space="0" w:color="5B6D82"/>
          <w:left w:val="single" w:sz="6" w:space="0" w:color="5B6D82"/>
          <w:bottom w:val="single" w:sz="6" w:space="0" w:color="5B6D82"/>
          <w:right w:val="single" w:sz="6" w:space="0" w:color="5B6D82"/>
          <w:insideH w:val="single" w:sz="6" w:space="0" w:color="5B6D82"/>
          <w:insideV w:val="single" w:sz="6" w:space="0" w:color="5B6D82"/>
        </w:tblBorders>
        <w:tblLook w:val="04A0" w:firstRow="1" w:lastRow="0" w:firstColumn="1" w:lastColumn="0" w:noHBand="0" w:noVBand="1"/>
      </w:tblPr>
      <w:tblGrid>
        <w:gridCol w:w="4248"/>
        <w:gridCol w:w="2126"/>
        <w:gridCol w:w="4360"/>
        <w:gridCol w:w="3578"/>
      </w:tblGrid>
      <w:tr w:rsidR="002F1A6A" w:rsidRPr="002F1A6A" w14:paraId="5E81224D" w14:textId="77777777" w:rsidTr="002F1A6A">
        <w:trPr>
          <w:trHeight w:val="467"/>
        </w:trPr>
        <w:tc>
          <w:tcPr>
            <w:tcW w:w="14312" w:type="dxa"/>
            <w:gridSpan w:val="4"/>
            <w:shd w:val="clear" w:color="auto" w:fill="5B6D82"/>
            <w:vAlign w:val="center"/>
          </w:tcPr>
          <w:p w14:paraId="21A55380" w14:textId="6FD70F9A" w:rsidR="002F1A6A" w:rsidRPr="002F1A6A" w:rsidRDefault="002F1A6A" w:rsidP="002F1A6A">
            <w:pPr>
              <w:widowControl w:val="0"/>
              <w:autoSpaceDE w:val="0"/>
              <w:autoSpaceDN w:val="0"/>
              <w:spacing w:before="67"/>
              <w:rPr>
                <w:rFonts w:ascii="Avenir Next Ultra Light" w:hAnsi="Avenir Next Ultra Light"/>
                <w:b/>
                <w:bCs/>
                <w:color w:val="FFFFFF" w:themeColor="background1"/>
              </w:rPr>
            </w:pPr>
            <w:r w:rsidRPr="002F1A6A">
              <w:rPr>
                <w:rFonts w:ascii="Avenir Next Ultra Light" w:hAnsi="Avenir Next Ultra Light"/>
                <w:b/>
                <w:bCs/>
                <w:color w:val="FFFFFF" w:themeColor="background1"/>
              </w:rPr>
              <w:t>Stakeholder identification and analysis</w:t>
            </w:r>
            <w:r w:rsidRPr="002F1A6A" w:rsidDel="00EC4E10">
              <w:rPr>
                <w:rFonts w:ascii="Avenir Next Ultra Light" w:hAnsi="Avenir Next Ultra Light"/>
                <w:b/>
                <w:bCs/>
                <w:color w:val="FFFFFF" w:themeColor="background1"/>
              </w:rPr>
              <w:t xml:space="preserve"> </w:t>
            </w:r>
          </w:p>
        </w:tc>
      </w:tr>
      <w:tr w:rsidR="002F1A6A" w:rsidRPr="002F1A6A" w14:paraId="21029CD0" w14:textId="77777777" w:rsidTr="002F1A6A">
        <w:tc>
          <w:tcPr>
            <w:tcW w:w="4248" w:type="dxa"/>
            <w:shd w:val="clear" w:color="auto" w:fill="A1CAD0"/>
            <w:vAlign w:val="center"/>
          </w:tcPr>
          <w:p w14:paraId="1B0DC4C8"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Questions</w:t>
            </w:r>
          </w:p>
        </w:tc>
        <w:tc>
          <w:tcPr>
            <w:tcW w:w="2126" w:type="dxa"/>
            <w:shd w:val="clear" w:color="auto" w:fill="A1CAD0"/>
            <w:vAlign w:val="center"/>
          </w:tcPr>
          <w:p w14:paraId="7A42FA34"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Scoring</w:t>
            </w:r>
          </w:p>
          <w:p w14:paraId="76859D04"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(Yes/No/Partially)</w:t>
            </w:r>
          </w:p>
        </w:tc>
        <w:tc>
          <w:tcPr>
            <w:tcW w:w="4360" w:type="dxa"/>
            <w:shd w:val="clear" w:color="auto" w:fill="A1CAD0"/>
            <w:vAlign w:val="center"/>
          </w:tcPr>
          <w:p w14:paraId="7EE59384"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Comments</w:t>
            </w:r>
          </w:p>
        </w:tc>
        <w:tc>
          <w:tcPr>
            <w:tcW w:w="3578" w:type="dxa"/>
            <w:shd w:val="clear" w:color="auto" w:fill="A1CAD0"/>
            <w:vAlign w:val="center"/>
          </w:tcPr>
          <w:p w14:paraId="485932E7"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Means of verification</w:t>
            </w:r>
          </w:p>
        </w:tc>
      </w:tr>
      <w:tr w:rsidR="002F1A6A" w:rsidRPr="002F1A6A" w14:paraId="723F3A32" w14:textId="77777777" w:rsidTr="002F1A6A">
        <w:tc>
          <w:tcPr>
            <w:tcW w:w="4248" w:type="dxa"/>
          </w:tcPr>
          <w:p w14:paraId="7C46A9AE"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Has the jurisdiction conducted a stakeholder mapping and analysis for the J-REDD+ program and its REDD+ actions?</w:t>
            </w:r>
          </w:p>
          <w:p w14:paraId="3DE87B69" w14:textId="77777777" w:rsidR="002F1A6A" w:rsidRPr="002F1A6A" w:rsidRDefault="002F1A6A" w:rsidP="00CE0AF6">
            <w:pPr>
              <w:pStyle w:val="ListParagraph"/>
              <w:rPr>
                <w:rFonts w:ascii="Avenir Next" w:hAnsi="Avenir Next"/>
                <w:sz w:val="20"/>
                <w:szCs w:val="20"/>
              </w:rPr>
            </w:pPr>
          </w:p>
        </w:tc>
        <w:tc>
          <w:tcPr>
            <w:tcW w:w="2126" w:type="dxa"/>
          </w:tcPr>
          <w:p w14:paraId="1AD34716" w14:textId="77777777" w:rsidR="002F1A6A" w:rsidRPr="002F1A6A" w:rsidRDefault="002F1A6A" w:rsidP="00CE0AF6">
            <w:pPr>
              <w:jc w:val="center"/>
              <w:rPr>
                <w:rFonts w:ascii="Avenir Next" w:hAnsi="Avenir Next"/>
                <w:b/>
                <w:bCs/>
                <w:sz w:val="20"/>
                <w:szCs w:val="20"/>
              </w:rPr>
            </w:pPr>
          </w:p>
        </w:tc>
        <w:tc>
          <w:tcPr>
            <w:tcW w:w="4360" w:type="dxa"/>
          </w:tcPr>
          <w:p w14:paraId="365AC599" w14:textId="77777777" w:rsidR="002F1A6A" w:rsidRPr="002F1A6A" w:rsidRDefault="002F1A6A" w:rsidP="00CE0AF6">
            <w:pPr>
              <w:jc w:val="center"/>
              <w:rPr>
                <w:rFonts w:ascii="Avenir Next" w:hAnsi="Avenir Next"/>
                <w:b/>
                <w:bCs/>
                <w:sz w:val="20"/>
                <w:szCs w:val="20"/>
              </w:rPr>
            </w:pPr>
          </w:p>
        </w:tc>
        <w:tc>
          <w:tcPr>
            <w:tcW w:w="3578" w:type="dxa"/>
          </w:tcPr>
          <w:p w14:paraId="535B57AC" w14:textId="77777777" w:rsidR="002F1A6A" w:rsidRPr="002F1A6A" w:rsidRDefault="002F1A6A" w:rsidP="00CE0AF6">
            <w:pPr>
              <w:jc w:val="center"/>
              <w:rPr>
                <w:rFonts w:ascii="Avenir Next" w:hAnsi="Avenir Next"/>
                <w:b/>
                <w:bCs/>
                <w:sz w:val="20"/>
                <w:szCs w:val="20"/>
              </w:rPr>
            </w:pPr>
          </w:p>
        </w:tc>
      </w:tr>
      <w:tr w:rsidR="002F1A6A" w:rsidRPr="002F1A6A" w14:paraId="7E08289A" w14:textId="77777777" w:rsidTr="002F1A6A">
        <w:tc>
          <w:tcPr>
            <w:tcW w:w="4248" w:type="dxa"/>
          </w:tcPr>
          <w:p w14:paraId="7EA892C3"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 xml:space="preserve">Does the stakeholder mapping and analysis cover both government and non-governmental stakeholder groups and their representative institutions (including indigenous peoples)? </w:t>
            </w:r>
          </w:p>
          <w:p w14:paraId="241333C2" w14:textId="77777777" w:rsidR="002F1A6A" w:rsidRPr="002F1A6A" w:rsidDel="00041B63" w:rsidRDefault="002F1A6A" w:rsidP="00CE0AF6">
            <w:pPr>
              <w:pStyle w:val="ListParagraph"/>
              <w:rPr>
                <w:rFonts w:ascii="Avenir Next" w:hAnsi="Avenir Next"/>
                <w:sz w:val="20"/>
                <w:szCs w:val="20"/>
              </w:rPr>
            </w:pPr>
          </w:p>
        </w:tc>
        <w:tc>
          <w:tcPr>
            <w:tcW w:w="2126" w:type="dxa"/>
          </w:tcPr>
          <w:p w14:paraId="0FB56921" w14:textId="77777777" w:rsidR="002F1A6A" w:rsidRPr="002F1A6A" w:rsidRDefault="002F1A6A" w:rsidP="00CE0AF6">
            <w:pPr>
              <w:jc w:val="center"/>
              <w:rPr>
                <w:rFonts w:ascii="Avenir Next" w:hAnsi="Avenir Next"/>
                <w:b/>
                <w:bCs/>
                <w:sz w:val="20"/>
                <w:szCs w:val="20"/>
              </w:rPr>
            </w:pPr>
          </w:p>
        </w:tc>
        <w:tc>
          <w:tcPr>
            <w:tcW w:w="4360" w:type="dxa"/>
          </w:tcPr>
          <w:p w14:paraId="3D8ECDB0" w14:textId="77777777" w:rsidR="002F1A6A" w:rsidRPr="002F1A6A" w:rsidRDefault="002F1A6A" w:rsidP="00CE0AF6">
            <w:pPr>
              <w:jc w:val="center"/>
              <w:rPr>
                <w:rFonts w:ascii="Avenir Next" w:hAnsi="Avenir Next"/>
                <w:b/>
                <w:bCs/>
                <w:sz w:val="20"/>
                <w:szCs w:val="20"/>
              </w:rPr>
            </w:pPr>
          </w:p>
        </w:tc>
        <w:tc>
          <w:tcPr>
            <w:tcW w:w="3578" w:type="dxa"/>
          </w:tcPr>
          <w:p w14:paraId="2A75A358" w14:textId="77777777" w:rsidR="002F1A6A" w:rsidRPr="002F1A6A" w:rsidRDefault="002F1A6A" w:rsidP="00CE0AF6">
            <w:pPr>
              <w:jc w:val="center"/>
              <w:rPr>
                <w:rFonts w:ascii="Avenir Next" w:hAnsi="Avenir Next"/>
                <w:b/>
                <w:bCs/>
                <w:sz w:val="20"/>
                <w:szCs w:val="20"/>
              </w:rPr>
            </w:pPr>
          </w:p>
        </w:tc>
      </w:tr>
      <w:tr w:rsidR="002F1A6A" w:rsidRPr="002F1A6A" w14:paraId="0A46F1F2" w14:textId="77777777" w:rsidTr="002F1A6A">
        <w:tc>
          <w:tcPr>
            <w:tcW w:w="4248" w:type="dxa"/>
          </w:tcPr>
          <w:p w14:paraId="1A0AA0A5"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Does the stakeholder mapping and analysis identify which stakeholder groups will be most adversely affected by the REDD+ actions?</w:t>
            </w:r>
          </w:p>
          <w:p w14:paraId="24C1A7CB" w14:textId="77777777" w:rsidR="002F1A6A" w:rsidRPr="002F1A6A" w:rsidRDefault="002F1A6A" w:rsidP="00CE0AF6">
            <w:pPr>
              <w:pStyle w:val="ListParagraph"/>
              <w:rPr>
                <w:rFonts w:ascii="Avenir Next" w:hAnsi="Avenir Next"/>
                <w:sz w:val="20"/>
                <w:szCs w:val="20"/>
              </w:rPr>
            </w:pPr>
          </w:p>
        </w:tc>
        <w:tc>
          <w:tcPr>
            <w:tcW w:w="2126" w:type="dxa"/>
          </w:tcPr>
          <w:p w14:paraId="344EE605" w14:textId="77777777" w:rsidR="002F1A6A" w:rsidRPr="002F1A6A" w:rsidRDefault="002F1A6A" w:rsidP="00CE0AF6">
            <w:pPr>
              <w:jc w:val="center"/>
              <w:rPr>
                <w:rFonts w:ascii="Avenir Next" w:hAnsi="Avenir Next"/>
                <w:b/>
                <w:bCs/>
                <w:sz w:val="20"/>
                <w:szCs w:val="20"/>
              </w:rPr>
            </w:pPr>
          </w:p>
        </w:tc>
        <w:tc>
          <w:tcPr>
            <w:tcW w:w="4360" w:type="dxa"/>
          </w:tcPr>
          <w:p w14:paraId="51DB2E66" w14:textId="77777777" w:rsidR="002F1A6A" w:rsidRPr="002F1A6A" w:rsidRDefault="002F1A6A" w:rsidP="00CE0AF6">
            <w:pPr>
              <w:jc w:val="center"/>
              <w:rPr>
                <w:rFonts w:ascii="Avenir Next" w:hAnsi="Avenir Next"/>
                <w:b/>
                <w:bCs/>
                <w:sz w:val="20"/>
                <w:szCs w:val="20"/>
              </w:rPr>
            </w:pPr>
          </w:p>
        </w:tc>
        <w:tc>
          <w:tcPr>
            <w:tcW w:w="3578" w:type="dxa"/>
          </w:tcPr>
          <w:p w14:paraId="608FDE10" w14:textId="77777777" w:rsidR="002F1A6A" w:rsidRPr="002F1A6A" w:rsidRDefault="002F1A6A" w:rsidP="00CE0AF6">
            <w:pPr>
              <w:jc w:val="center"/>
              <w:rPr>
                <w:rFonts w:ascii="Avenir Next" w:hAnsi="Avenir Next"/>
                <w:b/>
                <w:bCs/>
                <w:sz w:val="20"/>
                <w:szCs w:val="20"/>
              </w:rPr>
            </w:pPr>
          </w:p>
        </w:tc>
      </w:tr>
      <w:tr w:rsidR="002F1A6A" w:rsidRPr="002F1A6A" w14:paraId="7A05F58D" w14:textId="77777777" w:rsidTr="002F1A6A">
        <w:trPr>
          <w:trHeight w:val="422"/>
        </w:trPr>
        <w:tc>
          <w:tcPr>
            <w:tcW w:w="14312" w:type="dxa"/>
            <w:gridSpan w:val="4"/>
            <w:shd w:val="clear" w:color="auto" w:fill="5B6D82"/>
            <w:vAlign w:val="center"/>
          </w:tcPr>
          <w:p w14:paraId="2682911E" w14:textId="287E6B5A" w:rsidR="002F1A6A" w:rsidRPr="002F1A6A" w:rsidRDefault="002F1A6A" w:rsidP="002F1A6A">
            <w:pPr>
              <w:rPr>
                <w:rFonts w:ascii="Avenir Next Ultra Light" w:hAnsi="Avenir Next Ultra Light"/>
                <w:b/>
                <w:bCs/>
                <w:color w:val="FFFFFF" w:themeColor="background1"/>
              </w:rPr>
            </w:pPr>
            <w:r w:rsidRPr="002F1A6A">
              <w:rPr>
                <w:rFonts w:ascii="Avenir Next Ultra Light" w:hAnsi="Avenir Next Ultra Light"/>
                <w:b/>
                <w:bCs/>
                <w:color w:val="FFFFFF" w:themeColor="background1"/>
              </w:rPr>
              <w:t>Stakeholder engagement plan</w:t>
            </w:r>
          </w:p>
        </w:tc>
      </w:tr>
      <w:tr w:rsidR="002F1A6A" w:rsidRPr="002F1A6A" w14:paraId="38C20657" w14:textId="77777777" w:rsidTr="002F1A6A">
        <w:tc>
          <w:tcPr>
            <w:tcW w:w="4248" w:type="dxa"/>
            <w:shd w:val="clear" w:color="auto" w:fill="A1CAD0"/>
            <w:vAlign w:val="center"/>
          </w:tcPr>
          <w:p w14:paraId="51AA1144"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Questions</w:t>
            </w:r>
          </w:p>
        </w:tc>
        <w:tc>
          <w:tcPr>
            <w:tcW w:w="2126" w:type="dxa"/>
            <w:shd w:val="clear" w:color="auto" w:fill="A1CAD0"/>
            <w:vAlign w:val="center"/>
          </w:tcPr>
          <w:p w14:paraId="04653EE4"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Scoring</w:t>
            </w:r>
          </w:p>
          <w:p w14:paraId="3B2A547F"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(Yes/No/Partially)</w:t>
            </w:r>
          </w:p>
        </w:tc>
        <w:tc>
          <w:tcPr>
            <w:tcW w:w="4360" w:type="dxa"/>
            <w:shd w:val="clear" w:color="auto" w:fill="A1CAD0"/>
            <w:vAlign w:val="center"/>
          </w:tcPr>
          <w:p w14:paraId="61F8514B"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Comments</w:t>
            </w:r>
          </w:p>
        </w:tc>
        <w:tc>
          <w:tcPr>
            <w:tcW w:w="3578" w:type="dxa"/>
            <w:shd w:val="clear" w:color="auto" w:fill="A1CAD0"/>
            <w:vAlign w:val="center"/>
          </w:tcPr>
          <w:p w14:paraId="0E539D30"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Means of verification</w:t>
            </w:r>
          </w:p>
        </w:tc>
      </w:tr>
      <w:tr w:rsidR="002F1A6A" w:rsidRPr="002F1A6A" w14:paraId="17101674" w14:textId="77777777" w:rsidTr="002F1A6A">
        <w:tc>
          <w:tcPr>
            <w:tcW w:w="4248" w:type="dxa"/>
          </w:tcPr>
          <w:p w14:paraId="067A1186"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 xml:space="preserve">Has the jurisdiction adopted a stakeholder engagement plan? </w:t>
            </w:r>
          </w:p>
          <w:p w14:paraId="13FEF3F6" w14:textId="77777777" w:rsidR="002F1A6A" w:rsidRPr="002F1A6A" w:rsidRDefault="002F1A6A" w:rsidP="00CE0AF6">
            <w:pPr>
              <w:pStyle w:val="ListParagraph"/>
              <w:rPr>
                <w:rFonts w:ascii="Avenir Next" w:hAnsi="Avenir Next"/>
                <w:sz w:val="20"/>
                <w:szCs w:val="20"/>
              </w:rPr>
            </w:pPr>
          </w:p>
        </w:tc>
        <w:tc>
          <w:tcPr>
            <w:tcW w:w="2126" w:type="dxa"/>
          </w:tcPr>
          <w:p w14:paraId="36E1D346" w14:textId="77777777" w:rsidR="002F1A6A" w:rsidRPr="002F1A6A" w:rsidRDefault="002F1A6A" w:rsidP="00CE0AF6">
            <w:pPr>
              <w:jc w:val="center"/>
              <w:rPr>
                <w:rFonts w:ascii="Avenir Next" w:hAnsi="Avenir Next"/>
                <w:b/>
                <w:bCs/>
                <w:sz w:val="20"/>
                <w:szCs w:val="20"/>
              </w:rPr>
            </w:pPr>
          </w:p>
        </w:tc>
        <w:tc>
          <w:tcPr>
            <w:tcW w:w="4360" w:type="dxa"/>
          </w:tcPr>
          <w:p w14:paraId="1072F308" w14:textId="77777777" w:rsidR="002F1A6A" w:rsidRPr="002F1A6A" w:rsidRDefault="002F1A6A" w:rsidP="00CE0AF6">
            <w:pPr>
              <w:jc w:val="center"/>
              <w:rPr>
                <w:rFonts w:ascii="Avenir Next" w:hAnsi="Avenir Next"/>
                <w:b/>
                <w:bCs/>
                <w:sz w:val="20"/>
                <w:szCs w:val="20"/>
              </w:rPr>
            </w:pPr>
          </w:p>
        </w:tc>
        <w:tc>
          <w:tcPr>
            <w:tcW w:w="3578" w:type="dxa"/>
          </w:tcPr>
          <w:p w14:paraId="24E24224" w14:textId="77777777" w:rsidR="002F1A6A" w:rsidRPr="002F1A6A" w:rsidRDefault="002F1A6A" w:rsidP="00CE0AF6">
            <w:pPr>
              <w:jc w:val="center"/>
              <w:rPr>
                <w:rFonts w:ascii="Avenir Next" w:hAnsi="Avenir Next"/>
                <w:b/>
                <w:bCs/>
                <w:sz w:val="20"/>
                <w:szCs w:val="20"/>
              </w:rPr>
            </w:pPr>
          </w:p>
        </w:tc>
      </w:tr>
      <w:tr w:rsidR="002F1A6A" w:rsidRPr="002F1A6A" w14:paraId="47782004" w14:textId="77777777" w:rsidTr="002F1A6A">
        <w:tc>
          <w:tcPr>
            <w:tcW w:w="4248" w:type="dxa"/>
          </w:tcPr>
          <w:p w14:paraId="5F3A1C88"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lastRenderedPageBreak/>
              <w:t xml:space="preserve">Does the stakeholder engagement plan consider </w:t>
            </w:r>
            <w:r w:rsidRPr="002F1A6A">
              <w:rPr>
                <w:rFonts w:ascii="Avenir Next" w:hAnsi="Avenir Next"/>
                <w:iCs/>
                <w:sz w:val="20"/>
                <w:szCs w:val="20"/>
              </w:rPr>
              <w:t>arrangements to ensure consultations with indigenous peoples are carried out us through their own existing processes, organizations and institutions?</w:t>
            </w:r>
          </w:p>
          <w:p w14:paraId="536576AE" w14:textId="77777777" w:rsidR="002F1A6A" w:rsidRPr="002F1A6A" w:rsidRDefault="002F1A6A" w:rsidP="00CE0AF6">
            <w:pPr>
              <w:pStyle w:val="ListParagraph"/>
              <w:rPr>
                <w:rFonts w:ascii="Avenir Next" w:hAnsi="Avenir Next"/>
                <w:sz w:val="20"/>
                <w:szCs w:val="20"/>
              </w:rPr>
            </w:pPr>
          </w:p>
        </w:tc>
        <w:tc>
          <w:tcPr>
            <w:tcW w:w="2126" w:type="dxa"/>
          </w:tcPr>
          <w:p w14:paraId="7686D2EA" w14:textId="77777777" w:rsidR="002F1A6A" w:rsidRPr="002F1A6A" w:rsidRDefault="002F1A6A" w:rsidP="00CE0AF6">
            <w:pPr>
              <w:jc w:val="center"/>
              <w:rPr>
                <w:rFonts w:ascii="Avenir Next" w:hAnsi="Avenir Next"/>
                <w:b/>
                <w:bCs/>
                <w:sz w:val="20"/>
                <w:szCs w:val="20"/>
              </w:rPr>
            </w:pPr>
          </w:p>
        </w:tc>
        <w:tc>
          <w:tcPr>
            <w:tcW w:w="4360" w:type="dxa"/>
          </w:tcPr>
          <w:p w14:paraId="2D5655D1" w14:textId="77777777" w:rsidR="002F1A6A" w:rsidRPr="002F1A6A" w:rsidRDefault="002F1A6A" w:rsidP="00CE0AF6">
            <w:pPr>
              <w:jc w:val="center"/>
              <w:rPr>
                <w:rFonts w:ascii="Avenir Next" w:hAnsi="Avenir Next"/>
                <w:b/>
                <w:bCs/>
                <w:sz w:val="20"/>
                <w:szCs w:val="20"/>
              </w:rPr>
            </w:pPr>
          </w:p>
        </w:tc>
        <w:tc>
          <w:tcPr>
            <w:tcW w:w="3578" w:type="dxa"/>
          </w:tcPr>
          <w:p w14:paraId="642701AC" w14:textId="77777777" w:rsidR="002F1A6A" w:rsidRPr="002F1A6A" w:rsidRDefault="002F1A6A" w:rsidP="00CE0AF6">
            <w:pPr>
              <w:jc w:val="center"/>
              <w:rPr>
                <w:rFonts w:ascii="Avenir Next" w:hAnsi="Avenir Next"/>
                <w:b/>
                <w:bCs/>
                <w:sz w:val="20"/>
                <w:szCs w:val="20"/>
              </w:rPr>
            </w:pPr>
          </w:p>
        </w:tc>
      </w:tr>
      <w:tr w:rsidR="002F1A6A" w:rsidRPr="002F1A6A" w14:paraId="7F04BCDC" w14:textId="77777777" w:rsidTr="002F1A6A">
        <w:tc>
          <w:tcPr>
            <w:tcW w:w="4248" w:type="dxa"/>
          </w:tcPr>
          <w:p w14:paraId="66710EF2"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 xml:space="preserve">Does the stakeholder engagement plan consider </w:t>
            </w:r>
            <w:r w:rsidRPr="002F1A6A">
              <w:rPr>
                <w:rFonts w:ascii="Avenir Next" w:hAnsi="Avenir Next"/>
                <w:iCs/>
                <w:sz w:val="20"/>
                <w:szCs w:val="20"/>
              </w:rPr>
              <w:t>arrangements to ensure consultations are gender inclusive?</w:t>
            </w:r>
          </w:p>
          <w:p w14:paraId="1A573D6C" w14:textId="77777777" w:rsidR="002F1A6A" w:rsidRPr="002F1A6A" w:rsidRDefault="002F1A6A" w:rsidP="00CE0AF6">
            <w:pPr>
              <w:pStyle w:val="ListParagraph"/>
              <w:rPr>
                <w:rFonts w:ascii="Avenir Next" w:hAnsi="Avenir Next"/>
                <w:sz w:val="20"/>
                <w:szCs w:val="20"/>
              </w:rPr>
            </w:pPr>
          </w:p>
        </w:tc>
        <w:tc>
          <w:tcPr>
            <w:tcW w:w="2126" w:type="dxa"/>
          </w:tcPr>
          <w:p w14:paraId="1FDC141B" w14:textId="77777777" w:rsidR="002F1A6A" w:rsidRPr="002F1A6A" w:rsidRDefault="002F1A6A" w:rsidP="00CE0AF6">
            <w:pPr>
              <w:jc w:val="center"/>
              <w:rPr>
                <w:rFonts w:ascii="Avenir Next" w:hAnsi="Avenir Next"/>
                <w:b/>
                <w:bCs/>
                <w:sz w:val="20"/>
                <w:szCs w:val="20"/>
              </w:rPr>
            </w:pPr>
          </w:p>
        </w:tc>
        <w:tc>
          <w:tcPr>
            <w:tcW w:w="4360" w:type="dxa"/>
          </w:tcPr>
          <w:p w14:paraId="58FC084E" w14:textId="77777777" w:rsidR="002F1A6A" w:rsidRPr="002F1A6A" w:rsidRDefault="002F1A6A" w:rsidP="00CE0AF6">
            <w:pPr>
              <w:jc w:val="center"/>
              <w:rPr>
                <w:rFonts w:ascii="Avenir Next" w:hAnsi="Avenir Next"/>
                <w:b/>
                <w:bCs/>
                <w:sz w:val="20"/>
                <w:szCs w:val="20"/>
              </w:rPr>
            </w:pPr>
          </w:p>
        </w:tc>
        <w:tc>
          <w:tcPr>
            <w:tcW w:w="3578" w:type="dxa"/>
          </w:tcPr>
          <w:p w14:paraId="57D77087" w14:textId="77777777" w:rsidR="002F1A6A" w:rsidRPr="002F1A6A" w:rsidRDefault="002F1A6A" w:rsidP="00CE0AF6">
            <w:pPr>
              <w:jc w:val="center"/>
              <w:rPr>
                <w:rFonts w:ascii="Avenir Next" w:hAnsi="Avenir Next"/>
                <w:b/>
                <w:bCs/>
                <w:sz w:val="20"/>
                <w:szCs w:val="20"/>
              </w:rPr>
            </w:pPr>
          </w:p>
        </w:tc>
      </w:tr>
      <w:tr w:rsidR="002F1A6A" w:rsidRPr="002F1A6A" w14:paraId="6CECB95C" w14:textId="77777777" w:rsidTr="002F1A6A">
        <w:tc>
          <w:tcPr>
            <w:tcW w:w="4248" w:type="dxa"/>
          </w:tcPr>
          <w:p w14:paraId="73CE519C" w14:textId="77777777" w:rsidR="002F1A6A" w:rsidRPr="002F1A6A" w:rsidRDefault="002F1A6A" w:rsidP="002F1A6A">
            <w:pPr>
              <w:pStyle w:val="ListParagraph"/>
              <w:numPr>
                <w:ilvl w:val="0"/>
                <w:numId w:val="17"/>
              </w:numPr>
              <w:rPr>
                <w:rFonts w:ascii="Avenir Next" w:hAnsi="Avenir Next"/>
                <w:iCs/>
                <w:sz w:val="20"/>
                <w:szCs w:val="20"/>
              </w:rPr>
            </w:pPr>
            <w:r w:rsidRPr="002F1A6A">
              <w:rPr>
                <w:rFonts w:ascii="Avenir Next" w:hAnsi="Avenir Next"/>
                <w:iCs/>
                <w:sz w:val="20"/>
                <w:szCs w:val="20"/>
              </w:rPr>
              <w:t>Does the stakeholder engagement plan take into consideration the cultural norms, practices and values of the stakeholders?</w:t>
            </w:r>
          </w:p>
          <w:p w14:paraId="4D1DBA18" w14:textId="77777777" w:rsidR="002F1A6A" w:rsidRPr="002F1A6A" w:rsidRDefault="002F1A6A" w:rsidP="00CE0AF6">
            <w:pPr>
              <w:pStyle w:val="ListParagraph"/>
              <w:rPr>
                <w:rFonts w:ascii="Avenir Next" w:hAnsi="Avenir Next"/>
                <w:iCs/>
                <w:sz w:val="20"/>
                <w:szCs w:val="20"/>
              </w:rPr>
            </w:pPr>
          </w:p>
        </w:tc>
        <w:tc>
          <w:tcPr>
            <w:tcW w:w="2126" w:type="dxa"/>
          </w:tcPr>
          <w:p w14:paraId="0878FE44" w14:textId="77777777" w:rsidR="002F1A6A" w:rsidRPr="002F1A6A" w:rsidRDefault="002F1A6A" w:rsidP="00CE0AF6">
            <w:pPr>
              <w:jc w:val="center"/>
              <w:rPr>
                <w:rFonts w:ascii="Avenir Next" w:hAnsi="Avenir Next"/>
                <w:b/>
                <w:bCs/>
                <w:sz w:val="20"/>
                <w:szCs w:val="20"/>
              </w:rPr>
            </w:pPr>
          </w:p>
        </w:tc>
        <w:tc>
          <w:tcPr>
            <w:tcW w:w="4360" w:type="dxa"/>
          </w:tcPr>
          <w:p w14:paraId="24BF3E7D" w14:textId="77777777" w:rsidR="002F1A6A" w:rsidRPr="002F1A6A" w:rsidRDefault="002F1A6A" w:rsidP="00CE0AF6">
            <w:pPr>
              <w:jc w:val="center"/>
              <w:rPr>
                <w:rFonts w:ascii="Avenir Next" w:hAnsi="Avenir Next"/>
                <w:b/>
                <w:bCs/>
                <w:sz w:val="20"/>
                <w:szCs w:val="20"/>
              </w:rPr>
            </w:pPr>
          </w:p>
        </w:tc>
        <w:tc>
          <w:tcPr>
            <w:tcW w:w="3578" w:type="dxa"/>
          </w:tcPr>
          <w:p w14:paraId="57CCF556" w14:textId="77777777" w:rsidR="002F1A6A" w:rsidRPr="002F1A6A" w:rsidRDefault="002F1A6A" w:rsidP="00CE0AF6">
            <w:pPr>
              <w:jc w:val="center"/>
              <w:rPr>
                <w:rFonts w:ascii="Avenir Next" w:hAnsi="Avenir Next"/>
                <w:b/>
                <w:bCs/>
                <w:sz w:val="20"/>
                <w:szCs w:val="20"/>
              </w:rPr>
            </w:pPr>
          </w:p>
        </w:tc>
      </w:tr>
      <w:tr w:rsidR="002F1A6A" w:rsidRPr="002F1A6A" w14:paraId="62D135EF" w14:textId="77777777" w:rsidTr="002F1A6A">
        <w:tc>
          <w:tcPr>
            <w:tcW w:w="4248" w:type="dxa"/>
          </w:tcPr>
          <w:p w14:paraId="508FE573" w14:textId="77777777" w:rsidR="002F1A6A" w:rsidRPr="002F1A6A" w:rsidRDefault="002F1A6A" w:rsidP="002F1A6A">
            <w:pPr>
              <w:pStyle w:val="ListParagraph"/>
              <w:numPr>
                <w:ilvl w:val="0"/>
                <w:numId w:val="17"/>
              </w:numPr>
              <w:rPr>
                <w:rFonts w:ascii="Avenir Next" w:hAnsi="Avenir Next"/>
                <w:iCs/>
                <w:sz w:val="20"/>
                <w:szCs w:val="20"/>
              </w:rPr>
            </w:pPr>
            <w:r w:rsidRPr="002F1A6A">
              <w:rPr>
                <w:rFonts w:ascii="Avenir Next" w:hAnsi="Avenir Next"/>
                <w:iCs/>
                <w:sz w:val="20"/>
                <w:szCs w:val="20"/>
              </w:rPr>
              <w:t xml:space="preserve">Does the stakeholder engagement plan consider the use of representation bodies or platforms, such as Multi Stakeholder Platforms (MSPs)? If so, are these platforms functional? </w:t>
            </w:r>
          </w:p>
          <w:p w14:paraId="3B623D53" w14:textId="77777777" w:rsidR="002F1A6A" w:rsidRPr="002F1A6A" w:rsidRDefault="002F1A6A" w:rsidP="00CE0AF6">
            <w:pPr>
              <w:pStyle w:val="ListParagraph"/>
              <w:rPr>
                <w:rFonts w:ascii="Avenir Next" w:hAnsi="Avenir Next"/>
                <w:iCs/>
                <w:sz w:val="20"/>
                <w:szCs w:val="20"/>
              </w:rPr>
            </w:pPr>
          </w:p>
        </w:tc>
        <w:tc>
          <w:tcPr>
            <w:tcW w:w="2126" w:type="dxa"/>
          </w:tcPr>
          <w:p w14:paraId="42D77D1B" w14:textId="77777777" w:rsidR="002F1A6A" w:rsidRPr="002F1A6A" w:rsidRDefault="002F1A6A" w:rsidP="00CE0AF6">
            <w:pPr>
              <w:jc w:val="center"/>
              <w:rPr>
                <w:rFonts w:ascii="Avenir Next" w:hAnsi="Avenir Next"/>
                <w:sz w:val="20"/>
                <w:szCs w:val="20"/>
              </w:rPr>
            </w:pPr>
          </w:p>
        </w:tc>
        <w:tc>
          <w:tcPr>
            <w:tcW w:w="4360" w:type="dxa"/>
          </w:tcPr>
          <w:p w14:paraId="5FE75A7C" w14:textId="77777777" w:rsidR="002F1A6A" w:rsidRPr="002F1A6A" w:rsidRDefault="002F1A6A" w:rsidP="00CE0AF6">
            <w:pPr>
              <w:jc w:val="center"/>
              <w:rPr>
                <w:rFonts w:ascii="Avenir Next" w:hAnsi="Avenir Next"/>
                <w:sz w:val="20"/>
                <w:szCs w:val="20"/>
              </w:rPr>
            </w:pPr>
          </w:p>
        </w:tc>
        <w:tc>
          <w:tcPr>
            <w:tcW w:w="3578" w:type="dxa"/>
          </w:tcPr>
          <w:p w14:paraId="4987338B" w14:textId="77777777" w:rsidR="002F1A6A" w:rsidRPr="002F1A6A" w:rsidRDefault="002F1A6A" w:rsidP="00CE0AF6">
            <w:pPr>
              <w:jc w:val="center"/>
              <w:rPr>
                <w:rFonts w:ascii="Avenir Next" w:hAnsi="Avenir Next"/>
                <w:b/>
                <w:bCs/>
                <w:sz w:val="20"/>
                <w:szCs w:val="20"/>
              </w:rPr>
            </w:pPr>
          </w:p>
        </w:tc>
      </w:tr>
      <w:tr w:rsidR="002F1A6A" w:rsidRPr="002F1A6A" w14:paraId="63EB1EE1" w14:textId="77777777" w:rsidTr="002F1A6A">
        <w:tc>
          <w:tcPr>
            <w:tcW w:w="4248" w:type="dxa"/>
          </w:tcPr>
          <w:p w14:paraId="0F0EF4E2" w14:textId="77777777" w:rsidR="002F1A6A" w:rsidRPr="002F1A6A" w:rsidRDefault="002F1A6A" w:rsidP="002F1A6A">
            <w:pPr>
              <w:pStyle w:val="ListParagraph"/>
              <w:numPr>
                <w:ilvl w:val="0"/>
                <w:numId w:val="17"/>
              </w:numPr>
              <w:rPr>
                <w:rFonts w:ascii="Avenir Next" w:hAnsi="Avenir Next"/>
                <w:iCs/>
                <w:sz w:val="20"/>
                <w:szCs w:val="20"/>
              </w:rPr>
            </w:pPr>
            <w:r w:rsidRPr="002F1A6A">
              <w:rPr>
                <w:rFonts w:ascii="Avenir Next" w:hAnsi="Avenir Next"/>
                <w:iCs/>
                <w:sz w:val="20"/>
                <w:szCs w:val="20"/>
              </w:rPr>
              <w:t>Are the role and functions of the MSPs or equivalent clearly articulated and documented? [i.e. terms of reference adopted and endorsed]</w:t>
            </w:r>
          </w:p>
          <w:p w14:paraId="4BD53A86" w14:textId="77777777" w:rsidR="002F1A6A" w:rsidRPr="002F1A6A" w:rsidRDefault="002F1A6A" w:rsidP="00CE0AF6">
            <w:pPr>
              <w:pStyle w:val="ListParagraph"/>
              <w:rPr>
                <w:rFonts w:ascii="Avenir Next" w:hAnsi="Avenir Next"/>
                <w:iCs/>
                <w:sz w:val="20"/>
                <w:szCs w:val="20"/>
              </w:rPr>
            </w:pPr>
          </w:p>
        </w:tc>
        <w:tc>
          <w:tcPr>
            <w:tcW w:w="2126" w:type="dxa"/>
          </w:tcPr>
          <w:p w14:paraId="4E32F7E7" w14:textId="77777777" w:rsidR="002F1A6A" w:rsidRPr="002F1A6A" w:rsidRDefault="002F1A6A" w:rsidP="00CE0AF6">
            <w:pPr>
              <w:jc w:val="center"/>
              <w:rPr>
                <w:rFonts w:ascii="Avenir Next" w:hAnsi="Avenir Next"/>
                <w:sz w:val="20"/>
                <w:szCs w:val="20"/>
              </w:rPr>
            </w:pPr>
          </w:p>
        </w:tc>
        <w:tc>
          <w:tcPr>
            <w:tcW w:w="4360" w:type="dxa"/>
          </w:tcPr>
          <w:p w14:paraId="145D2EDD" w14:textId="77777777" w:rsidR="002F1A6A" w:rsidRPr="002F1A6A" w:rsidRDefault="002F1A6A" w:rsidP="00CE0AF6">
            <w:pPr>
              <w:jc w:val="center"/>
              <w:rPr>
                <w:rFonts w:ascii="Avenir Next" w:hAnsi="Avenir Next"/>
                <w:sz w:val="20"/>
                <w:szCs w:val="20"/>
              </w:rPr>
            </w:pPr>
          </w:p>
        </w:tc>
        <w:tc>
          <w:tcPr>
            <w:tcW w:w="3578" w:type="dxa"/>
          </w:tcPr>
          <w:p w14:paraId="55DB94DF" w14:textId="77777777" w:rsidR="002F1A6A" w:rsidRPr="002F1A6A" w:rsidRDefault="002F1A6A" w:rsidP="00CE0AF6">
            <w:pPr>
              <w:jc w:val="center"/>
              <w:rPr>
                <w:rFonts w:ascii="Avenir Next" w:hAnsi="Avenir Next"/>
                <w:b/>
                <w:bCs/>
                <w:sz w:val="20"/>
                <w:szCs w:val="20"/>
              </w:rPr>
            </w:pPr>
          </w:p>
        </w:tc>
      </w:tr>
      <w:tr w:rsidR="002F1A6A" w:rsidRPr="002F1A6A" w14:paraId="100EB2F3" w14:textId="77777777" w:rsidTr="002F1A6A">
        <w:tc>
          <w:tcPr>
            <w:tcW w:w="4248" w:type="dxa"/>
          </w:tcPr>
          <w:p w14:paraId="4E0C7ED8" w14:textId="77777777" w:rsidR="002F1A6A" w:rsidRPr="002F1A6A" w:rsidRDefault="002F1A6A" w:rsidP="002F1A6A">
            <w:pPr>
              <w:pStyle w:val="ListParagraph"/>
              <w:numPr>
                <w:ilvl w:val="0"/>
                <w:numId w:val="17"/>
              </w:numPr>
              <w:rPr>
                <w:rFonts w:ascii="Avenir Next" w:hAnsi="Avenir Next"/>
                <w:iCs/>
                <w:sz w:val="20"/>
                <w:szCs w:val="20"/>
              </w:rPr>
            </w:pPr>
            <w:r w:rsidRPr="002F1A6A">
              <w:rPr>
                <w:rFonts w:ascii="Avenir Next" w:hAnsi="Avenir Next"/>
                <w:iCs/>
                <w:sz w:val="20"/>
                <w:szCs w:val="20"/>
              </w:rPr>
              <w:t xml:space="preserve">Does the stakeholder engagement </w:t>
            </w:r>
            <w:r w:rsidRPr="002F1A6A">
              <w:rPr>
                <w:rFonts w:ascii="Avenir Next" w:hAnsi="Avenir Next"/>
                <w:iCs/>
                <w:sz w:val="20"/>
                <w:szCs w:val="20"/>
              </w:rPr>
              <w:lastRenderedPageBreak/>
              <w:t>plan set out clearly how the engagement process will be conducted and how the outcomes will be used, including the rights and responsibilities of the different stakeholders?</w:t>
            </w:r>
          </w:p>
          <w:p w14:paraId="506B0DE4" w14:textId="77777777" w:rsidR="002F1A6A" w:rsidRPr="002F1A6A" w:rsidRDefault="002F1A6A" w:rsidP="00CE0AF6">
            <w:pPr>
              <w:pStyle w:val="ListParagraph"/>
              <w:rPr>
                <w:rFonts w:ascii="Avenir Next" w:hAnsi="Avenir Next"/>
                <w:iCs/>
                <w:sz w:val="20"/>
                <w:szCs w:val="20"/>
              </w:rPr>
            </w:pPr>
          </w:p>
        </w:tc>
        <w:tc>
          <w:tcPr>
            <w:tcW w:w="2126" w:type="dxa"/>
          </w:tcPr>
          <w:p w14:paraId="3600D379" w14:textId="77777777" w:rsidR="002F1A6A" w:rsidRPr="002F1A6A" w:rsidRDefault="002F1A6A" w:rsidP="00CE0AF6">
            <w:pPr>
              <w:jc w:val="center"/>
              <w:rPr>
                <w:rFonts w:ascii="Avenir Next" w:hAnsi="Avenir Next"/>
                <w:sz w:val="20"/>
                <w:szCs w:val="20"/>
              </w:rPr>
            </w:pPr>
          </w:p>
        </w:tc>
        <w:tc>
          <w:tcPr>
            <w:tcW w:w="4360" w:type="dxa"/>
          </w:tcPr>
          <w:p w14:paraId="58BD9528" w14:textId="77777777" w:rsidR="002F1A6A" w:rsidRPr="002F1A6A" w:rsidRDefault="002F1A6A" w:rsidP="00CE0AF6">
            <w:pPr>
              <w:jc w:val="center"/>
              <w:rPr>
                <w:rFonts w:ascii="Avenir Next" w:hAnsi="Avenir Next"/>
                <w:sz w:val="20"/>
                <w:szCs w:val="20"/>
              </w:rPr>
            </w:pPr>
          </w:p>
        </w:tc>
        <w:tc>
          <w:tcPr>
            <w:tcW w:w="3578" w:type="dxa"/>
          </w:tcPr>
          <w:p w14:paraId="7C101551" w14:textId="77777777" w:rsidR="002F1A6A" w:rsidRPr="002F1A6A" w:rsidRDefault="002F1A6A" w:rsidP="00CE0AF6">
            <w:pPr>
              <w:jc w:val="center"/>
              <w:rPr>
                <w:rFonts w:ascii="Avenir Next" w:hAnsi="Avenir Next"/>
                <w:b/>
                <w:bCs/>
                <w:sz w:val="20"/>
                <w:szCs w:val="20"/>
              </w:rPr>
            </w:pPr>
          </w:p>
        </w:tc>
      </w:tr>
      <w:tr w:rsidR="002F1A6A" w:rsidRPr="002F1A6A" w14:paraId="01F12A6D" w14:textId="77777777" w:rsidTr="002F1A6A">
        <w:tc>
          <w:tcPr>
            <w:tcW w:w="4248" w:type="dxa"/>
          </w:tcPr>
          <w:p w14:paraId="1EF3C4C2" w14:textId="77777777" w:rsidR="002F1A6A" w:rsidRPr="002F1A6A" w:rsidRDefault="002F1A6A" w:rsidP="002F1A6A">
            <w:pPr>
              <w:pStyle w:val="ListParagraph"/>
              <w:numPr>
                <w:ilvl w:val="0"/>
                <w:numId w:val="17"/>
              </w:numPr>
              <w:rPr>
                <w:rFonts w:ascii="Avenir Next" w:hAnsi="Avenir Next"/>
                <w:iCs/>
                <w:sz w:val="20"/>
                <w:szCs w:val="20"/>
              </w:rPr>
            </w:pPr>
            <w:r w:rsidRPr="002F1A6A">
              <w:rPr>
                <w:rFonts w:ascii="Avenir Next" w:hAnsi="Avenir Next"/>
                <w:iCs/>
                <w:sz w:val="20"/>
                <w:szCs w:val="20"/>
              </w:rPr>
              <w:t>Does the stakeholder engagement plan set out to keep records of meetings and engagement activities that acknowledge peoples’ perspectives and detail any agreements and timelines for accomplishing tasks?</w:t>
            </w:r>
          </w:p>
          <w:p w14:paraId="08D00DF6" w14:textId="77777777" w:rsidR="002F1A6A" w:rsidRPr="002F1A6A" w:rsidRDefault="002F1A6A" w:rsidP="00CE0AF6">
            <w:pPr>
              <w:pStyle w:val="ListParagraph"/>
              <w:rPr>
                <w:rFonts w:ascii="Avenir Next" w:hAnsi="Avenir Next"/>
                <w:iCs/>
                <w:sz w:val="20"/>
                <w:szCs w:val="20"/>
              </w:rPr>
            </w:pPr>
          </w:p>
        </w:tc>
        <w:tc>
          <w:tcPr>
            <w:tcW w:w="2126" w:type="dxa"/>
          </w:tcPr>
          <w:p w14:paraId="30B454C9" w14:textId="77777777" w:rsidR="002F1A6A" w:rsidRPr="002F1A6A" w:rsidRDefault="002F1A6A" w:rsidP="00CE0AF6">
            <w:pPr>
              <w:jc w:val="center"/>
              <w:rPr>
                <w:rFonts w:ascii="Avenir Next" w:hAnsi="Avenir Next"/>
                <w:sz w:val="20"/>
                <w:szCs w:val="20"/>
              </w:rPr>
            </w:pPr>
          </w:p>
        </w:tc>
        <w:tc>
          <w:tcPr>
            <w:tcW w:w="4360" w:type="dxa"/>
          </w:tcPr>
          <w:p w14:paraId="11256243" w14:textId="77777777" w:rsidR="002F1A6A" w:rsidRPr="002F1A6A" w:rsidRDefault="002F1A6A" w:rsidP="00CE0AF6">
            <w:pPr>
              <w:jc w:val="center"/>
              <w:rPr>
                <w:rFonts w:ascii="Avenir Next" w:hAnsi="Avenir Next"/>
                <w:sz w:val="20"/>
                <w:szCs w:val="20"/>
              </w:rPr>
            </w:pPr>
          </w:p>
        </w:tc>
        <w:tc>
          <w:tcPr>
            <w:tcW w:w="3578" w:type="dxa"/>
          </w:tcPr>
          <w:p w14:paraId="62376381" w14:textId="77777777" w:rsidR="002F1A6A" w:rsidRPr="002F1A6A" w:rsidRDefault="002F1A6A" w:rsidP="00CE0AF6">
            <w:pPr>
              <w:jc w:val="center"/>
              <w:rPr>
                <w:rFonts w:ascii="Avenir Next" w:hAnsi="Avenir Next"/>
                <w:b/>
                <w:bCs/>
                <w:sz w:val="20"/>
                <w:szCs w:val="20"/>
              </w:rPr>
            </w:pPr>
          </w:p>
        </w:tc>
      </w:tr>
      <w:tr w:rsidR="002F1A6A" w:rsidRPr="002F1A6A" w14:paraId="51E6FB32" w14:textId="77777777" w:rsidTr="002F1A6A">
        <w:trPr>
          <w:trHeight w:val="467"/>
        </w:trPr>
        <w:tc>
          <w:tcPr>
            <w:tcW w:w="14312" w:type="dxa"/>
            <w:gridSpan w:val="4"/>
            <w:shd w:val="clear" w:color="auto" w:fill="5B6D82"/>
            <w:vAlign w:val="center"/>
          </w:tcPr>
          <w:p w14:paraId="187B6BE5" w14:textId="21EFA9FB" w:rsidR="002F1A6A" w:rsidRPr="002F1A6A" w:rsidRDefault="002F1A6A" w:rsidP="002F1A6A">
            <w:pPr>
              <w:rPr>
                <w:rFonts w:ascii="Avenir Next Ultra Light" w:hAnsi="Avenir Next Ultra Light"/>
                <w:b/>
                <w:bCs/>
                <w:color w:val="FFFFFF" w:themeColor="background1"/>
              </w:rPr>
            </w:pPr>
            <w:r w:rsidRPr="002F1A6A">
              <w:rPr>
                <w:rFonts w:ascii="Avenir Next Ultra Light" w:hAnsi="Avenir Next Ultra Light"/>
                <w:b/>
                <w:bCs/>
                <w:color w:val="FFFFFF" w:themeColor="background1"/>
              </w:rPr>
              <w:t>Information disclosure</w:t>
            </w:r>
            <w:r w:rsidRPr="002F1A6A" w:rsidDel="00FB4264">
              <w:rPr>
                <w:rFonts w:ascii="Avenir Next Ultra Light" w:hAnsi="Avenir Next Ultra Light"/>
                <w:b/>
                <w:bCs/>
                <w:color w:val="FFFFFF" w:themeColor="background1"/>
              </w:rPr>
              <w:t xml:space="preserve"> </w:t>
            </w:r>
          </w:p>
        </w:tc>
      </w:tr>
      <w:tr w:rsidR="002F1A6A" w:rsidRPr="002F1A6A" w14:paraId="47A4E472" w14:textId="77777777" w:rsidTr="002F1A6A">
        <w:tc>
          <w:tcPr>
            <w:tcW w:w="4248" w:type="dxa"/>
            <w:shd w:val="clear" w:color="auto" w:fill="A1CAD0"/>
            <w:vAlign w:val="center"/>
          </w:tcPr>
          <w:p w14:paraId="253F8030"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Questions</w:t>
            </w:r>
          </w:p>
        </w:tc>
        <w:tc>
          <w:tcPr>
            <w:tcW w:w="2126" w:type="dxa"/>
            <w:shd w:val="clear" w:color="auto" w:fill="A1CAD0"/>
            <w:vAlign w:val="center"/>
          </w:tcPr>
          <w:p w14:paraId="10256ECF"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Scoring</w:t>
            </w:r>
          </w:p>
          <w:p w14:paraId="0718A59D"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(Yes/No/Partially)</w:t>
            </w:r>
          </w:p>
        </w:tc>
        <w:tc>
          <w:tcPr>
            <w:tcW w:w="4360" w:type="dxa"/>
            <w:shd w:val="clear" w:color="auto" w:fill="A1CAD0"/>
            <w:vAlign w:val="center"/>
          </w:tcPr>
          <w:p w14:paraId="5796242B"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Comments</w:t>
            </w:r>
          </w:p>
        </w:tc>
        <w:tc>
          <w:tcPr>
            <w:tcW w:w="3578" w:type="dxa"/>
            <w:shd w:val="clear" w:color="auto" w:fill="A1CAD0"/>
            <w:vAlign w:val="center"/>
          </w:tcPr>
          <w:p w14:paraId="35F65EF0" w14:textId="77777777" w:rsidR="002F1A6A" w:rsidRPr="002F1A6A" w:rsidRDefault="002F1A6A" w:rsidP="002F1A6A">
            <w:pPr>
              <w:jc w:val="center"/>
              <w:rPr>
                <w:rFonts w:ascii="Bodoni 72 Book" w:hAnsi="Bodoni 72 Book"/>
                <w:sz w:val="22"/>
                <w:szCs w:val="22"/>
              </w:rPr>
            </w:pPr>
            <w:r w:rsidRPr="002F1A6A">
              <w:rPr>
                <w:rFonts w:ascii="Bodoni 72 Book" w:hAnsi="Bodoni 72 Book"/>
                <w:sz w:val="22"/>
                <w:szCs w:val="22"/>
              </w:rPr>
              <w:t>Means of verification</w:t>
            </w:r>
          </w:p>
        </w:tc>
      </w:tr>
      <w:tr w:rsidR="002F1A6A" w:rsidRPr="002F1A6A" w14:paraId="622DB19F" w14:textId="77777777" w:rsidTr="002F1A6A">
        <w:tc>
          <w:tcPr>
            <w:tcW w:w="4248" w:type="dxa"/>
          </w:tcPr>
          <w:p w14:paraId="1BDCB94A" w14:textId="6FC9316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 xml:space="preserve">Does the jurisdiction’s stakeholder engagement plan or other tool (e.g. communication plan) set out </w:t>
            </w:r>
            <w:r w:rsidR="00EA5B40" w:rsidRPr="002F1A6A">
              <w:rPr>
                <w:rFonts w:ascii="Avenir Next" w:hAnsi="Avenir Next"/>
                <w:sz w:val="20"/>
                <w:szCs w:val="20"/>
              </w:rPr>
              <w:t>how to</w:t>
            </w:r>
            <w:r w:rsidRPr="002F1A6A">
              <w:rPr>
                <w:rFonts w:ascii="Avenir Next" w:hAnsi="Avenir Next"/>
                <w:sz w:val="20"/>
                <w:szCs w:val="20"/>
              </w:rPr>
              <w:t xml:space="preserve"> inform stakeholders about the implementation of REDD+ actions and their results?</w:t>
            </w:r>
          </w:p>
          <w:p w14:paraId="7DBD177B" w14:textId="77777777" w:rsidR="002F1A6A" w:rsidRPr="002F1A6A" w:rsidRDefault="002F1A6A" w:rsidP="00CE0AF6">
            <w:pPr>
              <w:pStyle w:val="ListParagraph"/>
              <w:rPr>
                <w:rFonts w:ascii="Avenir Next" w:hAnsi="Avenir Next"/>
                <w:sz w:val="20"/>
                <w:szCs w:val="20"/>
              </w:rPr>
            </w:pPr>
          </w:p>
        </w:tc>
        <w:tc>
          <w:tcPr>
            <w:tcW w:w="2126" w:type="dxa"/>
          </w:tcPr>
          <w:p w14:paraId="5A3AD473" w14:textId="77777777" w:rsidR="002F1A6A" w:rsidRPr="002F1A6A" w:rsidRDefault="002F1A6A" w:rsidP="00CE0AF6">
            <w:pPr>
              <w:rPr>
                <w:rFonts w:ascii="Avenir Next" w:hAnsi="Avenir Next"/>
                <w:sz w:val="20"/>
                <w:szCs w:val="20"/>
              </w:rPr>
            </w:pPr>
          </w:p>
        </w:tc>
        <w:tc>
          <w:tcPr>
            <w:tcW w:w="4360" w:type="dxa"/>
          </w:tcPr>
          <w:p w14:paraId="1DF528E7" w14:textId="77777777" w:rsidR="002F1A6A" w:rsidRPr="002F1A6A" w:rsidRDefault="002F1A6A" w:rsidP="00CE0AF6">
            <w:pPr>
              <w:rPr>
                <w:rFonts w:ascii="Avenir Next" w:hAnsi="Avenir Next"/>
                <w:sz w:val="20"/>
                <w:szCs w:val="20"/>
              </w:rPr>
            </w:pPr>
          </w:p>
        </w:tc>
        <w:tc>
          <w:tcPr>
            <w:tcW w:w="3578" w:type="dxa"/>
          </w:tcPr>
          <w:p w14:paraId="612EF9B0" w14:textId="77777777" w:rsidR="002F1A6A" w:rsidRPr="002F1A6A" w:rsidRDefault="002F1A6A" w:rsidP="00CE0AF6">
            <w:pPr>
              <w:rPr>
                <w:rFonts w:ascii="Avenir Next" w:hAnsi="Avenir Next"/>
                <w:sz w:val="20"/>
                <w:szCs w:val="20"/>
              </w:rPr>
            </w:pPr>
          </w:p>
        </w:tc>
      </w:tr>
      <w:tr w:rsidR="002F1A6A" w:rsidRPr="002F1A6A" w14:paraId="06C24F8D" w14:textId="77777777" w:rsidTr="002F1A6A">
        <w:tc>
          <w:tcPr>
            <w:tcW w:w="4248" w:type="dxa"/>
          </w:tcPr>
          <w:p w14:paraId="0E04150E"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Is information provided understandable and contextualised for different stakeholder capacities and languages (e.g. in a format and language that is readily understandable and tailored to the target stakeholder group)?</w:t>
            </w:r>
          </w:p>
          <w:p w14:paraId="4DA869F7" w14:textId="77777777" w:rsidR="002F1A6A" w:rsidRPr="002F1A6A" w:rsidRDefault="002F1A6A" w:rsidP="00CE0AF6">
            <w:pPr>
              <w:pStyle w:val="ListParagraph"/>
              <w:rPr>
                <w:rFonts w:ascii="Avenir Next" w:hAnsi="Avenir Next"/>
                <w:sz w:val="20"/>
                <w:szCs w:val="20"/>
              </w:rPr>
            </w:pPr>
          </w:p>
        </w:tc>
        <w:tc>
          <w:tcPr>
            <w:tcW w:w="2126" w:type="dxa"/>
          </w:tcPr>
          <w:p w14:paraId="50F60531" w14:textId="77777777" w:rsidR="002F1A6A" w:rsidRPr="002F1A6A" w:rsidRDefault="002F1A6A" w:rsidP="00CE0AF6">
            <w:pPr>
              <w:rPr>
                <w:rFonts w:ascii="Avenir Next" w:hAnsi="Avenir Next"/>
                <w:sz w:val="20"/>
                <w:szCs w:val="20"/>
              </w:rPr>
            </w:pPr>
          </w:p>
        </w:tc>
        <w:tc>
          <w:tcPr>
            <w:tcW w:w="4360" w:type="dxa"/>
          </w:tcPr>
          <w:p w14:paraId="09320830" w14:textId="77777777" w:rsidR="002F1A6A" w:rsidRPr="002F1A6A" w:rsidRDefault="002F1A6A" w:rsidP="00CE0AF6">
            <w:pPr>
              <w:rPr>
                <w:rFonts w:ascii="Avenir Next" w:hAnsi="Avenir Next"/>
                <w:sz w:val="20"/>
                <w:szCs w:val="20"/>
              </w:rPr>
            </w:pPr>
          </w:p>
        </w:tc>
        <w:tc>
          <w:tcPr>
            <w:tcW w:w="3578" w:type="dxa"/>
          </w:tcPr>
          <w:p w14:paraId="5F70D5AE" w14:textId="77777777" w:rsidR="002F1A6A" w:rsidRPr="002F1A6A" w:rsidRDefault="002F1A6A" w:rsidP="00CE0AF6">
            <w:pPr>
              <w:rPr>
                <w:rFonts w:ascii="Avenir Next" w:hAnsi="Avenir Next"/>
                <w:sz w:val="20"/>
                <w:szCs w:val="20"/>
              </w:rPr>
            </w:pPr>
          </w:p>
        </w:tc>
      </w:tr>
      <w:tr w:rsidR="002F1A6A" w:rsidRPr="002F1A6A" w14:paraId="5262FD3E" w14:textId="77777777" w:rsidTr="002F1A6A">
        <w:tc>
          <w:tcPr>
            <w:tcW w:w="4248" w:type="dxa"/>
          </w:tcPr>
          <w:p w14:paraId="677297CE" w14:textId="77777777" w:rsidR="002F1A6A" w:rsidRPr="002F1A6A" w:rsidRDefault="002F1A6A" w:rsidP="002F1A6A">
            <w:pPr>
              <w:pStyle w:val="ListParagraph"/>
              <w:numPr>
                <w:ilvl w:val="0"/>
                <w:numId w:val="17"/>
              </w:numPr>
              <w:rPr>
                <w:rFonts w:ascii="Avenir Next" w:hAnsi="Avenir Next"/>
                <w:sz w:val="20"/>
                <w:szCs w:val="20"/>
              </w:rPr>
            </w:pPr>
            <w:r w:rsidRPr="002F1A6A">
              <w:rPr>
                <w:rFonts w:ascii="Avenir Next" w:hAnsi="Avenir Next"/>
                <w:sz w:val="20"/>
                <w:szCs w:val="20"/>
              </w:rPr>
              <w:t>Is information shared within a reasonable period that allows opportunity for stakeholders to participate in an informed manner?</w:t>
            </w:r>
          </w:p>
        </w:tc>
        <w:tc>
          <w:tcPr>
            <w:tcW w:w="2126" w:type="dxa"/>
          </w:tcPr>
          <w:p w14:paraId="3236B3E5" w14:textId="77777777" w:rsidR="002F1A6A" w:rsidRPr="002F1A6A" w:rsidRDefault="002F1A6A" w:rsidP="00CE0AF6">
            <w:pPr>
              <w:rPr>
                <w:rFonts w:ascii="Avenir Next" w:hAnsi="Avenir Next"/>
                <w:sz w:val="20"/>
                <w:szCs w:val="20"/>
              </w:rPr>
            </w:pPr>
          </w:p>
        </w:tc>
        <w:tc>
          <w:tcPr>
            <w:tcW w:w="4360" w:type="dxa"/>
          </w:tcPr>
          <w:p w14:paraId="77A02DE8" w14:textId="77777777" w:rsidR="002F1A6A" w:rsidRPr="002F1A6A" w:rsidRDefault="002F1A6A" w:rsidP="00CE0AF6">
            <w:pPr>
              <w:rPr>
                <w:rFonts w:ascii="Avenir Next" w:hAnsi="Avenir Next"/>
                <w:sz w:val="20"/>
                <w:szCs w:val="20"/>
              </w:rPr>
            </w:pPr>
          </w:p>
        </w:tc>
        <w:tc>
          <w:tcPr>
            <w:tcW w:w="3578" w:type="dxa"/>
          </w:tcPr>
          <w:p w14:paraId="570E15B1" w14:textId="77777777" w:rsidR="002F1A6A" w:rsidRPr="002F1A6A" w:rsidRDefault="002F1A6A" w:rsidP="00CE0AF6">
            <w:pPr>
              <w:rPr>
                <w:rFonts w:ascii="Avenir Next" w:hAnsi="Avenir Next"/>
                <w:sz w:val="20"/>
                <w:szCs w:val="20"/>
              </w:rPr>
            </w:pPr>
          </w:p>
        </w:tc>
      </w:tr>
    </w:tbl>
    <w:p w14:paraId="59667BD0" w14:textId="77777777" w:rsidR="002F1A6A" w:rsidRDefault="002F1A6A">
      <w:pPr>
        <w:spacing w:before="120" w:after="120" w:line="336" w:lineRule="auto"/>
        <w:rPr>
          <w:rFonts w:ascii="IBM Plex Sans" w:eastAsia="IBM Plex Sans" w:hAnsi="IBM Plex Sans" w:cs="IBM Plex Sans"/>
          <w:color w:val="000000"/>
        </w:rPr>
      </w:pPr>
    </w:p>
    <w:p w14:paraId="25735EAF" w14:textId="77777777" w:rsidR="002F1A6A" w:rsidRDefault="002F1A6A">
      <w:pPr>
        <w:spacing w:before="120" w:after="120" w:line="336" w:lineRule="auto"/>
        <w:rPr>
          <w:rFonts w:ascii="IBM Plex Sans" w:eastAsia="IBM Plex Sans" w:hAnsi="IBM Plex Sans" w:cs="IBM Plex Sans"/>
          <w:color w:val="000000"/>
        </w:rPr>
      </w:pPr>
    </w:p>
    <w:p w14:paraId="75D745D5" w14:textId="77777777" w:rsidR="002F1A6A" w:rsidRDefault="002F1A6A">
      <w:pPr>
        <w:spacing w:before="120" w:after="120" w:line="336" w:lineRule="auto"/>
        <w:rPr>
          <w:rFonts w:ascii="IBM Plex Sans" w:eastAsia="IBM Plex Sans" w:hAnsi="IBM Plex Sans" w:cs="IBM Plex Sans"/>
          <w:color w:val="000000"/>
        </w:rPr>
      </w:pPr>
    </w:p>
    <w:p w14:paraId="10AC3B94" w14:textId="77777777" w:rsidR="002F1A6A" w:rsidRDefault="002F1A6A">
      <w:pPr>
        <w:spacing w:before="120" w:after="120" w:line="336" w:lineRule="auto"/>
        <w:rPr>
          <w:rFonts w:ascii="IBM Plex Sans" w:eastAsia="IBM Plex Sans" w:hAnsi="IBM Plex Sans" w:cs="IBM Plex Sans"/>
          <w:color w:val="000000"/>
        </w:rPr>
      </w:pPr>
    </w:p>
    <w:p w14:paraId="5708B9C1" w14:textId="77777777" w:rsidR="002F1A6A" w:rsidRDefault="002F1A6A">
      <w:pPr>
        <w:spacing w:before="120" w:after="120" w:line="336" w:lineRule="auto"/>
        <w:rPr>
          <w:rFonts w:ascii="IBM Plex Sans" w:eastAsia="IBM Plex Sans" w:hAnsi="IBM Plex Sans" w:cs="IBM Plex Sans"/>
          <w:color w:val="000000"/>
        </w:rPr>
      </w:pPr>
    </w:p>
    <w:p w14:paraId="7B2107C4" w14:textId="77777777" w:rsidR="002F1A6A" w:rsidRDefault="002F1A6A">
      <w:pPr>
        <w:spacing w:before="120" w:after="120" w:line="336" w:lineRule="auto"/>
        <w:rPr>
          <w:rFonts w:ascii="IBM Plex Sans" w:eastAsia="IBM Plex Sans" w:hAnsi="IBM Plex Sans" w:cs="IBM Plex Sans"/>
          <w:color w:val="000000"/>
        </w:rPr>
      </w:pPr>
    </w:p>
    <w:p w14:paraId="0939260A" w14:textId="77777777" w:rsidR="002F1A6A" w:rsidRDefault="002F1A6A">
      <w:pPr>
        <w:spacing w:before="120" w:after="120" w:line="336" w:lineRule="auto"/>
        <w:rPr>
          <w:rFonts w:ascii="IBM Plex Sans" w:eastAsia="IBM Plex Sans" w:hAnsi="IBM Plex Sans" w:cs="IBM Plex Sans"/>
          <w:color w:val="000000"/>
        </w:rPr>
      </w:pPr>
    </w:p>
    <w:p w14:paraId="5228D2D2" w14:textId="77777777" w:rsidR="002F1A6A" w:rsidRDefault="002F1A6A">
      <w:pPr>
        <w:spacing w:before="120" w:after="120" w:line="336" w:lineRule="auto"/>
        <w:rPr>
          <w:rFonts w:ascii="IBM Plex Sans" w:eastAsia="IBM Plex Sans" w:hAnsi="IBM Plex Sans" w:cs="IBM Plex Sans"/>
          <w:color w:val="000000"/>
        </w:rPr>
      </w:pPr>
    </w:p>
    <w:p w14:paraId="60FB74D5" w14:textId="77777777" w:rsidR="002F1A6A" w:rsidRDefault="002F1A6A">
      <w:pPr>
        <w:spacing w:before="120" w:after="120" w:line="336" w:lineRule="auto"/>
        <w:rPr>
          <w:rFonts w:ascii="IBM Plex Sans" w:eastAsia="IBM Plex Sans" w:hAnsi="IBM Plex Sans" w:cs="IBM Plex Sans"/>
          <w:color w:val="000000"/>
        </w:rPr>
      </w:pPr>
    </w:p>
    <w:p w14:paraId="774C9F22" w14:textId="77777777" w:rsidR="002F1A6A" w:rsidRDefault="002F1A6A">
      <w:pPr>
        <w:spacing w:before="120" w:after="120" w:line="336" w:lineRule="auto"/>
        <w:rPr>
          <w:rFonts w:ascii="IBM Plex Sans" w:eastAsia="IBM Plex Sans" w:hAnsi="IBM Plex Sans" w:cs="IBM Plex Sans"/>
          <w:color w:val="000000"/>
        </w:rPr>
      </w:pPr>
    </w:p>
    <w:p w14:paraId="7E3543BA" w14:textId="77777777" w:rsidR="002F1A6A" w:rsidRDefault="002F1A6A">
      <w:pPr>
        <w:spacing w:before="120" w:after="120" w:line="336" w:lineRule="auto"/>
        <w:rPr>
          <w:rFonts w:ascii="IBM Plex Sans" w:eastAsia="IBM Plex Sans" w:hAnsi="IBM Plex Sans" w:cs="IBM Plex Sans"/>
          <w:color w:val="000000"/>
        </w:rPr>
      </w:pPr>
    </w:p>
    <w:p w14:paraId="72B66C78" w14:textId="77777777" w:rsidR="002F1A6A" w:rsidRDefault="002F1A6A">
      <w:pPr>
        <w:spacing w:before="120" w:after="120" w:line="336" w:lineRule="auto"/>
        <w:rPr>
          <w:rFonts w:ascii="IBM Plex Sans" w:eastAsia="IBM Plex Sans" w:hAnsi="IBM Plex Sans" w:cs="IBM Plex Sans"/>
          <w:color w:val="000000"/>
        </w:rPr>
      </w:pPr>
    </w:p>
    <w:p w14:paraId="5B6C218A" w14:textId="77777777" w:rsidR="002F1A6A" w:rsidRDefault="00000000">
      <w:pPr>
        <w:spacing w:before="120" w:after="120" w:line="336" w:lineRule="auto"/>
        <w:rPr>
          <w:rFonts w:ascii="IBM Plex Sans" w:eastAsia="IBM Plex Sans" w:hAnsi="IBM Plex Sans" w:cs="IBM Plex Sans"/>
          <w:color w:val="00646A"/>
        </w:rPr>
        <w:sectPr w:rsidR="002F1A6A" w:rsidSect="00D7443A">
          <w:pgSz w:w="16845" w:h="11910" w:orient="landscape"/>
          <w:pgMar w:top="1440" w:right="1440" w:bottom="1440" w:left="1440" w:header="720" w:footer="720" w:gutter="0"/>
          <w:cols w:space="720"/>
          <w:docGrid w:linePitch="326"/>
        </w:sectPr>
      </w:pPr>
      <w:r>
        <w:rPr>
          <w:rFonts w:ascii="IBM Plex Sans" w:eastAsia="IBM Plex Sans" w:hAnsi="IBM Plex Sans" w:cs="IBM Plex Sans"/>
          <w:color w:val="000000"/>
        </w:rPr>
        <w:t xml:space="preserve"> </w:t>
      </w:r>
      <w:r>
        <w:rPr>
          <w:rFonts w:ascii="IBM Plex Sans" w:eastAsia="IBM Plex Sans" w:hAnsi="IBM Plex Sans" w:cs="IBM Plex Sans"/>
          <w:color w:val="00646A"/>
        </w:rPr>
        <w:t xml:space="preserve"> </w:t>
      </w:r>
    </w:p>
    <w:p w14:paraId="111A82A5" w14:textId="3DE91B04" w:rsidR="0046351B" w:rsidRPr="002F1A6A" w:rsidRDefault="002F1A6A">
      <w:pPr>
        <w:spacing w:before="120" w:after="120" w:line="336" w:lineRule="auto"/>
        <w:rPr>
          <w:rFonts w:ascii="Bodoni 72 Book" w:hAnsi="Bodoni 72 Book"/>
        </w:rPr>
      </w:pPr>
      <w:r w:rsidRPr="002F1A6A">
        <w:rPr>
          <w:rFonts w:ascii="Bodoni 72 Book" w:eastAsia="Montserrat" w:hAnsi="Bodoni 72 Book" w:cs="Montserrat"/>
          <w:color w:val="5B6C81"/>
          <w:sz w:val="64"/>
          <w:szCs w:val="64"/>
        </w:rPr>
        <w:lastRenderedPageBreak/>
        <w:t>Section B: Template Report for the Qualitative Assessment</w:t>
      </w:r>
    </w:p>
    <w:p w14:paraId="4112A146" w14:textId="77777777" w:rsidR="0046351B" w:rsidRDefault="0046351B">
      <w:pPr>
        <w:pBdr>
          <w:bottom w:val="single" w:sz="6" w:space="0" w:color="5B6C81"/>
        </w:pBdr>
        <w:spacing w:before="120" w:after="120" w:line="0" w:lineRule="auto"/>
      </w:pPr>
    </w:p>
    <w:p w14:paraId="20725883" w14:textId="147930B6" w:rsidR="002F1A6A" w:rsidRPr="002F1A6A" w:rsidRDefault="002F1A6A" w:rsidP="002F1A6A">
      <w:pPr>
        <w:spacing w:before="120" w:after="120" w:line="336" w:lineRule="auto"/>
        <w:rPr>
          <w:rFonts w:ascii="Avenir Next" w:eastAsia="IBM Plex Sans" w:hAnsi="Avenir Next" w:cs="IBM Plex Sans"/>
          <w:color w:val="000000"/>
          <w:sz w:val="20"/>
          <w:szCs w:val="20"/>
        </w:rPr>
      </w:pPr>
      <w:r w:rsidRPr="002F1A6A">
        <w:rPr>
          <w:rFonts w:ascii="Avenir Next" w:eastAsia="IBM Plex Sans" w:hAnsi="Avenir Next" w:cs="IBM Plex Sans"/>
          <w:color w:val="000000"/>
          <w:sz w:val="20"/>
          <w:szCs w:val="20"/>
        </w:rPr>
        <w:t xml:space="preserve">To complete this template report, users (with the support of a selected expert international organization) should consider the answers provided in ‘Section A’ above. In completing this template, users will need to consider the scope of each column as follows: </w:t>
      </w:r>
    </w:p>
    <w:p w14:paraId="6F17456B" w14:textId="77777777" w:rsidR="002F1A6A" w:rsidRPr="002F1A6A" w:rsidRDefault="002F1A6A" w:rsidP="002F1A6A">
      <w:pPr>
        <w:pStyle w:val="ListParagraph"/>
        <w:numPr>
          <w:ilvl w:val="0"/>
          <w:numId w:val="18"/>
        </w:numPr>
        <w:spacing w:before="120" w:after="120" w:line="336" w:lineRule="auto"/>
        <w:rPr>
          <w:rFonts w:ascii="Avenir Next" w:eastAsia="IBM Plex Sans" w:hAnsi="Avenir Next" w:cs="IBM Plex Sans"/>
          <w:color w:val="000000"/>
          <w:sz w:val="20"/>
          <w:szCs w:val="20"/>
        </w:rPr>
      </w:pPr>
      <w:r w:rsidRPr="002F1A6A">
        <w:rPr>
          <w:rFonts w:ascii="Avenir Next" w:eastAsia="IBM Plex Sans" w:hAnsi="Avenir Next" w:cs="IBM Plex Sans"/>
          <w:color w:val="000000"/>
          <w:sz w:val="20"/>
          <w:szCs w:val="20"/>
        </w:rPr>
        <w:t xml:space="preserve">Column 2 (Shortcomings or Gaps Identified): for users to identify and summarize the key shortcomings or gaps (issues of non-conformance) identified in correlation to each of the international best practices, that is, when the scoring identified was ‘Partially’ or ‘No’ in ‘Section A’. There is also an opportunity to identify other/general shortcomings. </w:t>
      </w:r>
    </w:p>
    <w:p w14:paraId="605B13D9" w14:textId="2560011C" w:rsidR="0046351B" w:rsidRDefault="002F1A6A" w:rsidP="002F1A6A">
      <w:pPr>
        <w:pStyle w:val="ListParagraph"/>
        <w:numPr>
          <w:ilvl w:val="0"/>
          <w:numId w:val="18"/>
        </w:numPr>
        <w:spacing w:before="120" w:after="120" w:line="336" w:lineRule="auto"/>
        <w:rPr>
          <w:rFonts w:ascii="Avenir Next" w:eastAsia="IBM Plex Sans" w:hAnsi="Avenir Next" w:cs="IBM Plex Sans"/>
          <w:color w:val="000000"/>
          <w:sz w:val="20"/>
          <w:szCs w:val="20"/>
        </w:rPr>
      </w:pPr>
      <w:r w:rsidRPr="002F1A6A">
        <w:rPr>
          <w:rFonts w:ascii="Avenir Next" w:eastAsia="IBM Plex Sans" w:hAnsi="Avenir Next" w:cs="IBM Plex Sans"/>
          <w:color w:val="000000"/>
          <w:sz w:val="20"/>
          <w:szCs w:val="20"/>
        </w:rPr>
        <w:t xml:space="preserve">Column 3 (Recommendations): for users to identify actions/recommendations to be taken to address these key shortcomings or gaps. </w:t>
      </w:r>
    </w:p>
    <w:tbl>
      <w:tblPr>
        <w:tblStyle w:val="TableGrid"/>
        <w:tblW w:w="5000" w:type="pct"/>
        <w:tblBorders>
          <w:top w:val="single" w:sz="6" w:space="0" w:color="5B6D82"/>
          <w:left w:val="single" w:sz="6" w:space="0" w:color="5B6D82"/>
          <w:bottom w:val="single" w:sz="6" w:space="0" w:color="5B6D82"/>
          <w:right w:val="single" w:sz="6" w:space="0" w:color="5B6D82"/>
          <w:insideH w:val="single" w:sz="6" w:space="0" w:color="5B6D82"/>
          <w:insideV w:val="single" w:sz="6" w:space="0" w:color="5B6D82"/>
        </w:tblBorders>
        <w:tblLook w:val="04A0" w:firstRow="1" w:lastRow="0" w:firstColumn="1" w:lastColumn="0" w:noHBand="0" w:noVBand="1"/>
      </w:tblPr>
      <w:tblGrid>
        <w:gridCol w:w="2447"/>
        <w:gridCol w:w="5908"/>
        <w:gridCol w:w="5826"/>
      </w:tblGrid>
      <w:tr w:rsidR="002F1A6A" w:rsidRPr="00513AC2" w14:paraId="5966C96C" w14:textId="77777777" w:rsidTr="006E5D3B">
        <w:tc>
          <w:tcPr>
            <w:tcW w:w="863" w:type="pct"/>
            <w:shd w:val="clear" w:color="auto" w:fill="5B6D82"/>
            <w:vAlign w:val="center"/>
          </w:tcPr>
          <w:p w14:paraId="5FECFCAE" w14:textId="77777777" w:rsidR="002F1A6A" w:rsidRPr="006E5D3B" w:rsidRDefault="002F1A6A" w:rsidP="006E5D3B">
            <w:pPr>
              <w:jc w:val="center"/>
              <w:rPr>
                <w:rFonts w:ascii="Bodoni 72 Book" w:hAnsi="Bodoni 72 Book"/>
                <w:color w:val="FFFFFF" w:themeColor="background1"/>
                <w:sz w:val="22"/>
                <w:szCs w:val="22"/>
              </w:rPr>
            </w:pPr>
            <w:r w:rsidRPr="006E5D3B">
              <w:rPr>
                <w:rFonts w:ascii="Bodoni 72 Book" w:hAnsi="Bodoni 72 Book"/>
                <w:color w:val="FFFFFF" w:themeColor="background1"/>
                <w:sz w:val="22"/>
                <w:szCs w:val="22"/>
              </w:rPr>
              <w:t>International best practices</w:t>
            </w:r>
          </w:p>
        </w:tc>
        <w:tc>
          <w:tcPr>
            <w:tcW w:w="2083" w:type="pct"/>
            <w:shd w:val="clear" w:color="auto" w:fill="5B6D82"/>
            <w:vAlign w:val="center"/>
          </w:tcPr>
          <w:p w14:paraId="21A6959A" w14:textId="77777777" w:rsidR="002F1A6A" w:rsidRPr="006E5D3B" w:rsidRDefault="002F1A6A" w:rsidP="006E5D3B">
            <w:pPr>
              <w:jc w:val="center"/>
              <w:rPr>
                <w:rFonts w:ascii="Bodoni 72 Book" w:hAnsi="Bodoni 72 Book"/>
                <w:color w:val="FFFFFF" w:themeColor="background1"/>
                <w:sz w:val="22"/>
                <w:szCs w:val="22"/>
              </w:rPr>
            </w:pPr>
            <w:r w:rsidRPr="006E5D3B">
              <w:rPr>
                <w:rFonts w:ascii="Bodoni 72 Book" w:hAnsi="Bodoni 72 Book"/>
                <w:color w:val="FFFFFF" w:themeColor="background1"/>
                <w:sz w:val="22"/>
                <w:szCs w:val="22"/>
              </w:rPr>
              <w:t>Shortcomings/Gaps Identified</w:t>
            </w:r>
          </w:p>
        </w:tc>
        <w:tc>
          <w:tcPr>
            <w:tcW w:w="2054" w:type="pct"/>
            <w:shd w:val="clear" w:color="auto" w:fill="5B6D82"/>
            <w:vAlign w:val="center"/>
          </w:tcPr>
          <w:p w14:paraId="0EC5E820" w14:textId="7FC1B49B" w:rsidR="002F1A6A" w:rsidRPr="006E5D3B" w:rsidRDefault="002F1A6A" w:rsidP="006E5D3B">
            <w:pPr>
              <w:jc w:val="center"/>
              <w:rPr>
                <w:rFonts w:ascii="Bodoni 72 Book" w:hAnsi="Bodoni 72 Book"/>
                <w:color w:val="FFFFFF" w:themeColor="background1"/>
                <w:sz w:val="22"/>
                <w:szCs w:val="22"/>
              </w:rPr>
            </w:pPr>
            <w:r w:rsidRPr="006E5D3B">
              <w:rPr>
                <w:rFonts w:ascii="Bodoni 72 Book" w:hAnsi="Bodoni 72 Book"/>
                <w:color w:val="FFFFFF" w:themeColor="background1"/>
                <w:sz w:val="22"/>
                <w:szCs w:val="22"/>
              </w:rPr>
              <w:t>Recommendations</w:t>
            </w:r>
          </w:p>
        </w:tc>
      </w:tr>
      <w:tr w:rsidR="002F1A6A" w:rsidRPr="00513AC2" w14:paraId="2512655D" w14:textId="77777777" w:rsidTr="006E5D3B">
        <w:trPr>
          <w:trHeight w:val="984"/>
        </w:trPr>
        <w:tc>
          <w:tcPr>
            <w:tcW w:w="863" w:type="pct"/>
            <w:shd w:val="clear" w:color="auto" w:fill="A1CAD0"/>
            <w:vAlign w:val="center"/>
          </w:tcPr>
          <w:p w14:paraId="574A1E1B" w14:textId="77777777" w:rsidR="002F1A6A" w:rsidRPr="006E5D3B" w:rsidRDefault="002F1A6A" w:rsidP="006E5D3B">
            <w:pPr>
              <w:widowControl w:val="0"/>
              <w:autoSpaceDE w:val="0"/>
              <w:autoSpaceDN w:val="0"/>
              <w:spacing w:before="67"/>
              <w:rPr>
                <w:rFonts w:ascii="Avenir Next" w:hAnsi="Avenir Next"/>
                <w:sz w:val="20"/>
                <w:szCs w:val="20"/>
              </w:rPr>
            </w:pPr>
            <w:r w:rsidRPr="006E5D3B">
              <w:rPr>
                <w:rFonts w:ascii="Avenir Next" w:hAnsi="Avenir Next"/>
                <w:iCs/>
                <w:sz w:val="20"/>
                <w:szCs w:val="20"/>
              </w:rPr>
              <w:t>Stakeholder identification and analysis</w:t>
            </w:r>
            <w:r w:rsidRPr="006E5D3B" w:rsidDel="00EC4E10">
              <w:rPr>
                <w:rFonts w:ascii="Avenir Next" w:hAnsi="Avenir Next"/>
                <w:sz w:val="20"/>
                <w:szCs w:val="20"/>
              </w:rPr>
              <w:t xml:space="preserve"> </w:t>
            </w:r>
          </w:p>
        </w:tc>
        <w:tc>
          <w:tcPr>
            <w:tcW w:w="2083" w:type="pct"/>
          </w:tcPr>
          <w:p w14:paraId="5171E4E6" w14:textId="77777777" w:rsidR="002F1A6A" w:rsidRPr="006E5D3B" w:rsidRDefault="002F1A6A" w:rsidP="00CE0AF6">
            <w:pPr>
              <w:rPr>
                <w:rFonts w:ascii="Avenir Next" w:hAnsi="Avenir Next"/>
                <w:sz w:val="20"/>
                <w:szCs w:val="20"/>
              </w:rPr>
            </w:pPr>
          </w:p>
        </w:tc>
        <w:tc>
          <w:tcPr>
            <w:tcW w:w="2054" w:type="pct"/>
          </w:tcPr>
          <w:p w14:paraId="19672565" w14:textId="77777777" w:rsidR="002F1A6A" w:rsidRPr="006E5D3B" w:rsidRDefault="002F1A6A" w:rsidP="00CE0AF6">
            <w:pPr>
              <w:rPr>
                <w:rFonts w:ascii="Avenir Next" w:hAnsi="Avenir Next"/>
                <w:sz w:val="20"/>
                <w:szCs w:val="20"/>
              </w:rPr>
            </w:pPr>
          </w:p>
        </w:tc>
      </w:tr>
      <w:tr w:rsidR="002F1A6A" w:rsidRPr="00513AC2" w14:paraId="30F5BF96" w14:textId="77777777" w:rsidTr="006E5D3B">
        <w:trPr>
          <w:trHeight w:val="696"/>
        </w:trPr>
        <w:tc>
          <w:tcPr>
            <w:tcW w:w="863" w:type="pct"/>
            <w:shd w:val="clear" w:color="auto" w:fill="A1CAD0"/>
            <w:vAlign w:val="center"/>
          </w:tcPr>
          <w:p w14:paraId="4DC77A2D" w14:textId="77777777" w:rsidR="002F1A6A" w:rsidRPr="006E5D3B" w:rsidRDefault="002F1A6A" w:rsidP="006E5D3B">
            <w:pPr>
              <w:rPr>
                <w:rFonts w:ascii="Avenir Next" w:hAnsi="Avenir Next"/>
                <w:iCs/>
                <w:sz w:val="20"/>
                <w:szCs w:val="20"/>
              </w:rPr>
            </w:pPr>
            <w:r w:rsidRPr="006E5D3B">
              <w:rPr>
                <w:rFonts w:ascii="Avenir Next" w:hAnsi="Avenir Next"/>
                <w:iCs/>
                <w:sz w:val="20"/>
                <w:szCs w:val="20"/>
              </w:rPr>
              <w:t>Stakeholder engagement plan</w:t>
            </w:r>
          </w:p>
        </w:tc>
        <w:tc>
          <w:tcPr>
            <w:tcW w:w="2083" w:type="pct"/>
          </w:tcPr>
          <w:p w14:paraId="78A6DE92" w14:textId="77777777" w:rsidR="002F1A6A" w:rsidRPr="006E5D3B" w:rsidRDefault="002F1A6A" w:rsidP="00CE0AF6">
            <w:pPr>
              <w:rPr>
                <w:rFonts w:ascii="Avenir Next" w:hAnsi="Avenir Next"/>
                <w:sz w:val="20"/>
                <w:szCs w:val="20"/>
              </w:rPr>
            </w:pPr>
          </w:p>
        </w:tc>
        <w:tc>
          <w:tcPr>
            <w:tcW w:w="2054" w:type="pct"/>
          </w:tcPr>
          <w:p w14:paraId="34B57928" w14:textId="77777777" w:rsidR="002F1A6A" w:rsidRPr="006E5D3B" w:rsidRDefault="002F1A6A" w:rsidP="00CE0AF6">
            <w:pPr>
              <w:rPr>
                <w:rFonts w:ascii="Avenir Next" w:hAnsi="Avenir Next"/>
                <w:sz w:val="20"/>
                <w:szCs w:val="20"/>
              </w:rPr>
            </w:pPr>
          </w:p>
        </w:tc>
      </w:tr>
      <w:tr w:rsidR="002F1A6A" w:rsidRPr="00513AC2" w14:paraId="7E67665C" w14:textId="77777777" w:rsidTr="006E5D3B">
        <w:trPr>
          <w:trHeight w:val="345"/>
        </w:trPr>
        <w:tc>
          <w:tcPr>
            <w:tcW w:w="863" w:type="pct"/>
            <w:shd w:val="clear" w:color="auto" w:fill="A1CAD0"/>
            <w:vAlign w:val="center"/>
          </w:tcPr>
          <w:p w14:paraId="5EC39EFA" w14:textId="77777777" w:rsidR="002F1A6A" w:rsidRPr="006E5D3B" w:rsidRDefault="002F1A6A" w:rsidP="006E5D3B">
            <w:pPr>
              <w:rPr>
                <w:rFonts w:ascii="Avenir Next" w:hAnsi="Avenir Next"/>
                <w:sz w:val="20"/>
                <w:szCs w:val="20"/>
              </w:rPr>
            </w:pPr>
            <w:r w:rsidRPr="006E5D3B">
              <w:rPr>
                <w:rFonts w:ascii="Avenir Next" w:hAnsi="Avenir Next"/>
                <w:sz w:val="20"/>
                <w:szCs w:val="20"/>
              </w:rPr>
              <w:t>Information disclosure</w:t>
            </w:r>
          </w:p>
        </w:tc>
        <w:tc>
          <w:tcPr>
            <w:tcW w:w="2083" w:type="pct"/>
          </w:tcPr>
          <w:p w14:paraId="11B6D396" w14:textId="77777777" w:rsidR="002F1A6A" w:rsidRPr="006E5D3B" w:rsidRDefault="002F1A6A" w:rsidP="00CE0AF6">
            <w:pPr>
              <w:rPr>
                <w:rFonts w:ascii="Avenir Next" w:hAnsi="Avenir Next"/>
                <w:sz w:val="20"/>
                <w:szCs w:val="20"/>
              </w:rPr>
            </w:pPr>
          </w:p>
        </w:tc>
        <w:tc>
          <w:tcPr>
            <w:tcW w:w="2054" w:type="pct"/>
          </w:tcPr>
          <w:p w14:paraId="2DDFD126" w14:textId="77777777" w:rsidR="002F1A6A" w:rsidRPr="006E5D3B" w:rsidRDefault="002F1A6A" w:rsidP="00CE0AF6">
            <w:pPr>
              <w:rPr>
                <w:rFonts w:ascii="Avenir Next" w:hAnsi="Avenir Next"/>
                <w:sz w:val="20"/>
                <w:szCs w:val="20"/>
              </w:rPr>
            </w:pPr>
          </w:p>
        </w:tc>
      </w:tr>
      <w:tr w:rsidR="002F1A6A" w:rsidRPr="00513AC2" w14:paraId="022AEA60" w14:textId="77777777" w:rsidTr="006E5D3B">
        <w:tc>
          <w:tcPr>
            <w:tcW w:w="863" w:type="pct"/>
            <w:shd w:val="clear" w:color="auto" w:fill="A1CAD0"/>
            <w:vAlign w:val="center"/>
          </w:tcPr>
          <w:p w14:paraId="5FCEC32B" w14:textId="77777777" w:rsidR="002F1A6A" w:rsidRPr="006E5D3B" w:rsidRDefault="002F1A6A" w:rsidP="006E5D3B">
            <w:pPr>
              <w:rPr>
                <w:rFonts w:ascii="Avenir Next" w:hAnsi="Avenir Next"/>
                <w:sz w:val="20"/>
                <w:szCs w:val="20"/>
              </w:rPr>
            </w:pPr>
            <w:r w:rsidRPr="006E5D3B">
              <w:rPr>
                <w:rFonts w:ascii="Avenir Next" w:hAnsi="Avenir Next"/>
                <w:sz w:val="20"/>
                <w:szCs w:val="20"/>
              </w:rPr>
              <w:t xml:space="preserve">General </w:t>
            </w:r>
          </w:p>
        </w:tc>
        <w:tc>
          <w:tcPr>
            <w:tcW w:w="2083" w:type="pct"/>
          </w:tcPr>
          <w:p w14:paraId="1A222A1B" w14:textId="77777777" w:rsidR="002F1A6A" w:rsidRPr="006E5D3B" w:rsidRDefault="002F1A6A" w:rsidP="00CE0AF6">
            <w:pPr>
              <w:rPr>
                <w:rFonts w:ascii="Avenir Next" w:hAnsi="Avenir Next"/>
                <w:sz w:val="20"/>
                <w:szCs w:val="20"/>
              </w:rPr>
            </w:pPr>
          </w:p>
        </w:tc>
        <w:tc>
          <w:tcPr>
            <w:tcW w:w="2054" w:type="pct"/>
          </w:tcPr>
          <w:p w14:paraId="2BB60D59" w14:textId="77777777" w:rsidR="002F1A6A" w:rsidRPr="006E5D3B" w:rsidRDefault="002F1A6A" w:rsidP="00CE0AF6">
            <w:pPr>
              <w:rPr>
                <w:rFonts w:ascii="Avenir Next" w:hAnsi="Avenir Next"/>
                <w:sz w:val="20"/>
                <w:szCs w:val="20"/>
              </w:rPr>
            </w:pPr>
          </w:p>
        </w:tc>
      </w:tr>
    </w:tbl>
    <w:p w14:paraId="5E4E6609" w14:textId="77777777" w:rsidR="002F1A6A" w:rsidRPr="002F1A6A" w:rsidRDefault="002F1A6A" w:rsidP="002F1A6A">
      <w:pPr>
        <w:spacing w:before="120" w:after="120" w:line="336" w:lineRule="auto"/>
        <w:rPr>
          <w:rFonts w:ascii="Avenir Next" w:eastAsia="IBM Plex Sans" w:hAnsi="Avenir Next" w:cs="IBM Plex Sans"/>
          <w:color w:val="000000"/>
          <w:sz w:val="20"/>
          <w:szCs w:val="20"/>
        </w:rPr>
      </w:pPr>
    </w:p>
    <w:sectPr w:rsidR="002F1A6A" w:rsidRPr="002F1A6A" w:rsidSect="00D7443A">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FE438" w14:textId="77777777" w:rsidR="00D7443A" w:rsidRDefault="00D7443A" w:rsidP="002F1A6A">
      <w:r>
        <w:separator/>
      </w:r>
    </w:p>
  </w:endnote>
  <w:endnote w:type="continuationSeparator" w:id="0">
    <w:p w14:paraId="49EABEB0" w14:textId="77777777" w:rsidR="00D7443A" w:rsidRDefault="00D7443A" w:rsidP="002F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9919F00-67BE-1546-BA5D-C8D01CC23C10}"/>
  </w:font>
  <w:font w:name="Times New Roman">
    <w:panose1 w:val="02020603050405020304"/>
    <w:charset w:val="00"/>
    <w:family w:val="roman"/>
    <w:pitch w:val="variable"/>
    <w:sig w:usb0="E0002EFF" w:usb1="C000785B" w:usb2="00000009" w:usb3="00000000" w:csb0="000001FF" w:csb1="00000000"/>
    <w:embedRegular r:id="rId2" w:fontKey="{9C8C4649-8224-3C44-AC35-7C61798C3DC4}"/>
    <w:embedBold r:id="rId3" w:fontKey="{15D58EEC-D407-3041-8812-09805FF8C27A}"/>
    <w:embedItalic r:id="rId4" w:fontKey="{A60E7E34-DA68-DF45-B599-EDFA4B6AF309}"/>
  </w:font>
  <w:font w:name="Courier New">
    <w:panose1 w:val="02070309020205020404"/>
    <w:charset w:val="00"/>
    <w:family w:val="modern"/>
    <w:pitch w:val="fixed"/>
    <w:sig w:usb0="E0002AFF" w:usb1="C0007843" w:usb2="00000009" w:usb3="00000000" w:csb0="000001FF" w:csb1="00000000"/>
    <w:embedRegular r:id="rId5" w:fontKey="{6F4DF557-E727-904D-ABD6-83C3065F35A8}"/>
  </w:font>
  <w:font w:name="Wingdings">
    <w:panose1 w:val="05000000000000000000"/>
    <w:charset w:val="4D"/>
    <w:family w:val="decorative"/>
    <w:pitch w:val="variable"/>
    <w:sig w:usb0="00000003" w:usb1="00000000" w:usb2="00000000" w:usb3="00000000" w:csb0="80000001" w:csb1="00000000"/>
    <w:embedRegular r:id="rId6" w:fontKey="{73B1A19E-B87A-514A-AD5E-9BE881C7CE96}"/>
  </w:font>
  <w:font w:name="Calibri">
    <w:panose1 w:val="020F0502020204030204"/>
    <w:charset w:val="00"/>
    <w:family w:val="swiss"/>
    <w:pitch w:val="variable"/>
    <w:sig w:usb0="E4002EFF" w:usb1="C200247B" w:usb2="00000009" w:usb3="00000000" w:csb0="000001FF" w:csb1="00000000"/>
    <w:embedRegular r:id="rId7" w:fontKey="{BBCAEB08-8B6F-504F-BDB4-C028669C1626}"/>
    <w:embedBold r:id="rId8" w:fontKey="{BEB85AF1-C90E-F64A-BD37-D3B1BF398B55}"/>
  </w:font>
  <w:font w:name="Bodoni 72 Book">
    <w:altName w:val="BODONI 72 BOOK"/>
    <w:panose1 w:val="00000400000000000000"/>
    <w:charset w:val="00"/>
    <w:family w:val="auto"/>
    <w:pitch w:val="variable"/>
    <w:sig w:usb0="00000003" w:usb1="00000000" w:usb2="00000000" w:usb3="00000000" w:csb0="00000001" w:csb1="00000000"/>
    <w:embedRegular r:id="rId9" w:fontKey="{67F53A47-B2DC-3846-B723-3646DFE9897B}"/>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1" w:fontKey="{871A08AF-BDF4-7A4E-AD50-8D9FBE7E08BD}"/>
    <w:embedBold r:id="rId12" w:fontKey="{0703A37D-5DCB-CE43-A835-4D015965C4E7}"/>
    <w:embedItalic r:id="rId13" w:fontKey="{7B1BE58B-6AE2-5347-8566-43D019747D36}"/>
  </w:font>
  <w:font w:name="Montserrat">
    <w:panose1 w:val="00000500000000000000"/>
    <w:charset w:val="4D"/>
    <w:family w:val="auto"/>
    <w:pitch w:val="variable"/>
    <w:sig w:usb0="2000020F" w:usb1="00000003" w:usb2="00000000" w:usb3="00000000" w:csb0="00000197" w:csb1="00000000"/>
    <w:embedRegular r:id="rId14" w:fontKey="{0142E321-44DE-084B-A753-1A5EC954BBD8}"/>
    <w:embedBold r:id="rId15" w:fontKey="{0879B07E-E40C-1D45-8749-AB40E374995C}"/>
    <w:embedItalic r:id="rId16" w:fontKey="{57376167-4444-7141-90EC-0CA7FF37D996}"/>
  </w:font>
  <w:font w:name="IBM Plex Sans">
    <w:panose1 w:val="020B0503050203000203"/>
    <w:charset w:val="00"/>
    <w:family w:val="swiss"/>
    <w:pitch w:val="variable"/>
    <w:sig w:usb0="A00002EF" w:usb1="5000207B" w:usb2="00000000" w:usb3="00000000" w:csb0="0000019F" w:csb1="00000000"/>
    <w:embedRegular r:id="rId17" w:fontKey="{15166058-FDBD-AB4E-AFB2-67F6BB756CEF}"/>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9" w:fontKey="{7AE1D017-3285-6C42-BF51-395F69331E1E}"/>
  </w:font>
  <w:font w:name="Calibri Light">
    <w:panose1 w:val="020F0302020204030204"/>
    <w:charset w:val="00"/>
    <w:family w:val="swiss"/>
    <w:pitch w:val="variable"/>
    <w:sig w:usb0="E4002EFF" w:usb1="C200247B" w:usb2="00000009" w:usb3="00000000" w:csb0="000001FF" w:csb1="00000000"/>
    <w:embedRegular r:id="rId20" w:fontKey="{9317EFB8-6306-7843-8E03-83E4C696B6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AFE76" w14:textId="77777777" w:rsidR="00D7443A" w:rsidRDefault="00D7443A" w:rsidP="002F1A6A">
      <w:r>
        <w:separator/>
      </w:r>
    </w:p>
  </w:footnote>
  <w:footnote w:type="continuationSeparator" w:id="0">
    <w:p w14:paraId="66184D1D" w14:textId="77777777" w:rsidR="00D7443A" w:rsidRDefault="00D7443A" w:rsidP="002F1A6A">
      <w:r>
        <w:continuationSeparator/>
      </w:r>
    </w:p>
  </w:footnote>
  <w:footnote w:id="1">
    <w:p w14:paraId="2F6C54A0" w14:textId="2B72A4DB" w:rsidR="002F1A6A" w:rsidRPr="002F1A6A" w:rsidRDefault="002F1A6A">
      <w:pPr>
        <w:pStyle w:val="FootnoteText"/>
        <w:rPr>
          <w:rFonts w:ascii="Avenir Next" w:hAnsi="Avenir Next"/>
          <w:sz w:val="14"/>
          <w:szCs w:val="14"/>
        </w:rPr>
      </w:pPr>
      <w:r w:rsidRPr="002F1A6A">
        <w:rPr>
          <w:rStyle w:val="FootnoteReference"/>
          <w:rFonts w:ascii="Avenir Next" w:hAnsi="Avenir Next"/>
          <w:sz w:val="14"/>
          <w:szCs w:val="14"/>
        </w:rPr>
        <w:footnoteRef/>
      </w:r>
      <w:r w:rsidRPr="002F1A6A">
        <w:rPr>
          <w:rFonts w:ascii="Avenir Next" w:hAnsi="Avenir Next"/>
          <w:sz w:val="14"/>
          <w:szCs w:val="14"/>
        </w:rPr>
        <w:t xml:space="preserve"> FCPF, UN-REDD, 2012. </w:t>
      </w:r>
      <w:r w:rsidRPr="002F1A6A">
        <w:rPr>
          <w:rFonts w:ascii="Avenir Next" w:hAnsi="Avenir Next"/>
          <w:i/>
          <w:iCs/>
          <w:sz w:val="14"/>
          <w:szCs w:val="14"/>
        </w:rPr>
        <w:t>Guidelines on Stakeholder Engagement in REDD+ Readiness with a Focus on the Participation of Indigenous Peoples and Other Forest-Dependent Communities.</w:t>
      </w:r>
      <w:r w:rsidRPr="002F1A6A">
        <w:rPr>
          <w:rFonts w:ascii="Avenir Next" w:hAnsi="Avenir Next"/>
          <w:sz w:val="14"/>
          <w:szCs w:val="14"/>
        </w:rPr>
        <w:t xml:space="preserve"> 2012</w:t>
      </w:r>
    </w:p>
  </w:footnote>
  <w:footnote w:id="2">
    <w:p w14:paraId="76A2FD9B" w14:textId="42ABC419" w:rsidR="002F1A6A" w:rsidRPr="002F1A6A" w:rsidRDefault="002F1A6A">
      <w:pPr>
        <w:pStyle w:val="FootnoteText"/>
        <w:rPr>
          <w:rFonts w:ascii="Avenir Next" w:hAnsi="Avenir Next"/>
          <w:sz w:val="14"/>
          <w:szCs w:val="14"/>
        </w:rPr>
      </w:pPr>
      <w:r w:rsidRPr="002F1A6A">
        <w:rPr>
          <w:rStyle w:val="FootnoteReference"/>
          <w:rFonts w:ascii="Avenir Next" w:hAnsi="Avenir Next"/>
          <w:sz w:val="14"/>
          <w:szCs w:val="14"/>
        </w:rPr>
        <w:footnoteRef/>
      </w:r>
      <w:r w:rsidRPr="002F1A6A">
        <w:rPr>
          <w:rFonts w:ascii="Avenir Next" w:hAnsi="Avenir Next"/>
          <w:sz w:val="14"/>
          <w:szCs w:val="14"/>
        </w:rPr>
        <w:t xml:space="preserve"> IFC, Stakeholder </w:t>
      </w:r>
      <w:r w:rsidR="00EA5B40" w:rsidRPr="002F1A6A">
        <w:rPr>
          <w:rFonts w:ascii="Avenir Next" w:hAnsi="Avenir Next"/>
          <w:sz w:val="14"/>
          <w:szCs w:val="14"/>
        </w:rPr>
        <w:t>engagement,</w:t>
      </w:r>
      <w:r w:rsidRPr="002F1A6A">
        <w:rPr>
          <w:rFonts w:ascii="Avenir Next" w:hAnsi="Avenir Next"/>
          <w:sz w:val="14"/>
          <w:szCs w:val="14"/>
        </w:rPr>
        <w:t xml:space="preserve"> Good Practice Manual </w:t>
      </w:r>
    </w:p>
  </w:footnote>
  <w:footnote w:id="3">
    <w:p w14:paraId="54A91648" w14:textId="6DF828AC" w:rsidR="002F1A6A" w:rsidRPr="002F1A6A" w:rsidRDefault="002F1A6A">
      <w:pPr>
        <w:pStyle w:val="FootnoteText"/>
        <w:rPr>
          <w:lang w:val="en-GB"/>
        </w:rPr>
      </w:pPr>
      <w:r w:rsidRPr="002F1A6A">
        <w:rPr>
          <w:rStyle w:val="FootnoteReference"/>
          <w:rFonts w:ascii="Avenir Next" w:hAnsi="Avenir Next"/>
          <w:sz w:val="14"/>
          <w:szCs w:val="14"/>
        </w:rPr>
        <w:footnoteRef/>
      </w:r>
      <w:r w:rsidRPr="002F1A6A">
        <w:rPr>
          <w:rFonts w:ascii="Avenir Next" w:hAnsi="Avenir Next"/>
          <w:sz w:val="14"/>
          <w:szCs w:val="14"/>
        </w:rPr>
        <w:t xml:space="preserve"> GCF, Sustainability Guidance Note: Designing and ensuring meaningful stakeholder engagement on GCF-financed activities</w:t>
      </w:r>
    </w:p>
  </w:footnote>
  <w:footnote w:id="4">
    <w:p w14:paraId="6F841F52" w14:textId="0555D3D8" w:rsidR="002F1A6A" w:rsidRPr="002F1A6A" w:rsidRDefault="002F1A6A">
      <w:pPr>
        <w:pStyle w:val="FootnoteText"/>
        <w:rPr>
          <w:rFonts w:ascii="Avenir Next" w:hAnsi="Avenir Next"/>
          <w:sz w:val="14"/>
          <w:szCs w:val="14"/>
          <w:lang w:val="en-GB"/>
        </w:rPr>
      </w:pPr>
      <w:r w:rsidRPr="002F1A6A">
        <w:rPr>
          <w:rStyle w:val="FootnoteReference"/>
          <w:rFonts w:ascii="Avenir Next" w:hAnsi="Avenir Next"/>
          <w:sz w:val="14"/>
          <w:szCs w:val="14"/>
        </w:rPr>
        <w:footnoteRef/>
      </w:r>
      <w:r w:rsidRPr="002F1A6A">
        <w:rPr>
          <w:rFonts w:ascii="Avenir Next" w:hAnsi="Avenir Next"/>
          <w:sz w:val="14"/>
          <w:szCs w:val="14"/>
        </w:rPr>
        <w:t xml:space="preserve"> For purposes of this tool, MSPs are defined as a purposefully organized structures that bring together a range of stakeholders to participate in dialogue and/or decision-making and/or implementation of actions seeking to address a problem they hold in common or to achieve a goal for their common benefit.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F77D8"/>
    <w:multiLevelType w:val="hybridMultilevel"/>
    <w:tmpl w:val="B3404B6A"/>
    <w:lvl w:ilvl="0" w:tplc="7A882F36">
      <w:start w:val="1"/>
      <w:numFmt w:val="bullet"/>
      <w:lvlText w:val=""/>
      <w:lvlJc w:val="left"/>
      <w:pPr>
        <w:ind w:left="400" w:hanging="360"/>
      </w:pPr>
      <w:rPr>
        <w:rFonts w:ascii="Symbol" w:hAnsi="Symbol"/>
      </w:rPr>
    </w:lvl>
    <w:lvl w:ilvl="1" w:tplc="98020A86">
      <w:start w:val="1"/>
      <w:numFmt w:val="bullet"/>
      <w:lvlText w:val="o"/>
      <w:lvlJc w:val="left"/>
      <w:pPr>
        <w:ind w:left="800" w:hanging="360"/>
      </w:pPr>
      <w:rPr>
        <w:rFonts w:ascii="Courier New" w:hAnsi="Courier New"/>
      </w:rPr>
    </w:lvl>
    <w:lvl w:ilvl="2" w:tplc="18FCD740">
      <w:start w:val="1"/>
      <w:numFmt w:val="bullet"/>
      <w:lvlText w:val=""/>
      <w:lvlJc w:val="left"/>
      <w:pPr>
        <w:ind w:left="1200" w:hanging="360"/>
      </w:pPr>
      <w:rPr>
        <w:rFonts w:ascii="Wingdings" w:hAnsi="Wingdings"/>
      </w:rPr>
    </w:lvl>
    <w:lvl w:ilvl="3" w:tplc="5864475A">
      <w:start w:val="1"/>
      <w:numFmt w:val="bullet"/>
      <w:lvlText w:val=""/>
      <w:lvlJc w:val="left"/>
      <w:pPr>
        <w:ind w:left="1600" w:hanging="360"/>
      </w:pPr>
      <w:rPr>
        <w:rFonts w:ascii="Symbol" w:hAnsi="Symbol"/>
      </w:rPr>
    </w:lvl>
    <w:lvl w:ilvl="4" w:tplc="AAEEFF9A">
      <w:start w:val="1"/>
      <w:numFmt w:val="bullet"/>
      <w:lvlText w:val="o"/>
      <w:lvlJc w:val="left"/>
      <w:pPr>
        <w:ind w:left="2000" w:hanging="360"/>
      </w:pPr>
      <w:rPr>
        <w:rFonts w:ascii="Courier New" w:hAnsi="Courier New"/>
      </w:rPr>
    </w:lvl>
    <w:lvl w:ilvl="5" w:tplc="524ED378">
      <w:start w:val="1"/>
      <w:numFmt w:val="bullet"/>
      <w:lvlText w:val=""/>
      <w:lvlJc w:val="left"/>
      <w:pPr>
        <w:ind w:left="2400" w:hanging="360"/>
      </w:pPr>
      <w:rPr>
        <w:rFonts w:ascii="Wingdings" w:hAnsi="Wingdings"/>
      </w:rPr>
    </w:lvl>
    <w:lvl w:ilvl="6" w:tplc="64A8F870">
      <w:start w:val="1"/>
      <w:numFmt w:val="bullet"/>
      <w:lvlText w:val=""/>
      <w:lvlJc w:val="left"/>
      <w:pPr>
        <w:ind w:left="2800" w:hanging="360"/>
      </w:pPr>
      <w:rPr>
        <w:rFonts w:ascii="Symbol" w:hAnsi="Symbol"/>
      </w:rPr>
    </w:lvl>
    <w:lvl w:ilvl="7" w:tplc="7B7CDA40">
      <w:start w:val="1"/>
      <w:numFmt w:val="bullet"/>
      <w:lvlText w:val="o"/>
      <w:lvlJc w:val="left"/>
      <w:pPr>
        <w:ind w:left="3200" w:hanging="360"/>
      </w:pPr>
      <w:rPr>
        <w:rFonts w:ascii="Courier New" w:hAnsi="Courier New"/>
      </w:rPr>
    </w:lvl>
    <w:lvl w:ilvl="8" w:tplc="5D1EE094">
      <w:numFmt w:val="decimal"/>
      <w:lvlText w:val=""/>
      <w:lvlJc w:val="left"/>
    </w:lvl>
  </w:abstractNum>
  <w:abstractNum w:abstractNumId="1" w15:restartNumberingAfterBreak="0">
    <w:nsid w:val="227770EF"/>
    <w:multiLevelType w:val="hybridMultilevel"/>
    <w:tmpl w:val="B12C6A4E"/>
    <w:lvl w:ilvl="0" w:tplc="D4BE0648">
      <w:start w:val="1"/>
      <w:numFmt w:val="bullet"/>
      <w:lvlText w:val=""/>
      <w:lvlJc w:val="left"/>
      <w:pPr>
        <w:ind w:left="400" w:hanging="360"/>
      </w:pPr>
      <w:rPr>
        <w:rFonts w:ascii="Symbol" w:hAnsi="Symbol"/>
      </w:rPr>
    </w:lvl>
    <w:lvl w:ilvl="1" w:tplc="4C7EE8B0">
      <w:start w:val="1"/>
      <w:numFmt w:val="bullet"/>
      <w:lvlText w:val="o"/>
      <w:lvlJc w:val="left"/>
      <w:pPr>
        <w:ind w:left="800" w:hanging="360"/>
      </w:pPr>
      <w:rPr>
        <w:rFonts w:ascii="Courier New" w:hAnsi="Courier New"/>
      </w:rPr>
    </w:lvl>
    <w:lvl w:ilvl="2" w:tplc="604A7D18">
      <w:start w:val="1"/>
      <w:numFmt w:val="bullet"/>
      <w:lvlText w:val=""/>
      <w:lvlJc w:val="left"/>
      <w:pPr>
        <w:ind w:left="1200" w:hanging="360"/>
      </w:pPr>
      <w:rPr>
        <w:rFonts w:ascii="Wingdings" w:hAnsi="Wingdings"/>
      </w:rPr>
    </w:lvl>
    <w:lvl w:ilvl="3" w:tplc="9906F032">
      <w:start w:val="1"/>
      <w:numFmt w:val="bullet"/>
      <w:lvlText w:val=""/>
      <w:lvlJc w:val="left"/>
      <w:pPr>
        <w:ind w:left="1600" w:hanging="360"/>
      </w:pPr>
      <w:rPr>
        <w:rFonts w:ascii="Symbol" w:hAnsi="Symbol"/>
      </w:rPr>
    </w:lvl>
    <w:lvl w:ilvl="4" w:tplc="69A8BBAC">
      <w:start w:val="1"/>
      <w:numFmt w:val="bullet"/>
      <w:lvlText w:val="o"/>
      <w:lvlJc w:val="left"/>
      <w:pPr>
        <w:ind w:left="2000" w:hanging="360"/>
      </w:pPr>
      <w:rPr>
        <w:rFonts w:ascii="Courier New" w:hAnsi="Courier New"/>
      </w:rPr>
    </w:lvl>
    <w:lvl w:ilvl="5" w:tplc="33442FB8">
      <w:start w:val="1"/>
      <w:numFmt w:val="bullet"/>
      <w:lvlText w:val=""/>
      <w:lvlJc w:val="left"/>
      <w:pPr>
        <w:ind w:left="2400" w:hanging="360"/>
      </w:pPr>
      <w:rPr>
        <w:rFonts w:ascii="Wingdings" w:hAnsi="Wingdings"/>
      </w:rPr>
    </w:lvl>
    <w:lvl w:ilvl="6" w:tplc="28826C92">
      <w:start w:val="1"/>
      <w:numFmt w:val="bullet"/>
      <w:lvlText w:val=""/>
      <w:lvlJc w:val="left"/>
      <w:pPr>
        <w:ind w:left="2800" w:hanging="360"/>
      </w:pPr>
      <w:rPr>
        <w:rFonts w:ascii="Symbol" w:hAnsi="Symbol"/>
      </w:rPr>
    </w:lvl>
    <w:lvl w:ilvl="7" w:tplc="B93E167E">
      <w:start w:val="1"/>
      <w:numFmt w:val="bullet"/>
      <w:lvlText w:val="o"/>
      <w:lvlJc w:val="left"/>
      <w:pPr>
        <w:ind w:left="3200" w:hanging="360"/>
      </w:pPr>
      <w:rPr>
        <w:rFonts w:ascii="Courier New" w:hAnsi="Courier New"/>
      </w:rPr>
    </w:lvl>
    <w:lvl w:ilvl="8" w:tplc="516644FC">
      <w:numFmt w:val="decimal"/>
      <w:lvlText w:val=""/>
      <w:lvlJc w:val="left"/>
    </w:lvl>
  </w:abstractNum>
  <w:abstractNum w:abstractNumId="2" w15:restartNumberingAfterBreak="0">
    <w:nsid w:val="245E5254"/>
    <w:multiLevelType w:val="hybridMultilevel"/>
    <w:tmpl w:val="3E6C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72A74"/>
    <w:multiLevelType w:val="hybridMultilevel"/>
    <w:tmpl w:val="AF10AD68"/>
    <w:lvl w:ilvl="0" w:tplc="DBC49A4A">
      <w:start w:val="1"/>
      <w:numFmt w:val="bullet"/>
      <w:lvlText w:val=""/>
      <w:lvlJc w:val="left"/>
      <w:pPr>
        <w:ind w:left="400" w:hanging="360"/>
      </w:pPr>
      <w:rPr>
        <w:rFonts w:ascii="Symbol" w:hAnsi="Symbol"/>
      </w:rPr>
    </w:lvl>
    <w:lvl w:ilvl="1" w:tplc="9C502E5C">
      <w:start w:val="1"/>
      <w:numFmt w:val="bullet"/>
      <w:lvlText w:val="o"/>
      <w:lvlJc w:val="left"/>
      <w:pPr>
        <w:ind w:left="800" w:hanging="360"/>
      </w:pPr>
      <w:rPr>
        <w:rFonts w:ascii="Courier New" w:hAnsi="Courier New"/>
      </w:rPr>
    </w:lvl>
    <w:lvl w:ilvl="2" w:tplc="093CC104">
      <w:start w:val="1"/>
      <w:numFmt w:val="bullet"/>
      <w:lvlText w:val=""/>
      <w:lvlJc w:val="left"/>
      <w:pPr>
        <w:ind w:left="1200" w:hanging="360"/>
      </w:pPr>
      <w:rPr>
        <w:rFonts w:ascii="Wingdings" w:hAnsi="Wingdings"/>
      </w:rPr>
    </w:lvl>
    <w:lvl w:ilvl="3" w:tplc="6F048D34">
      <w:start w:val="1"/>
      <w:numFmt w:val="bullet"/>
      <w:lvlText w:val=""/>
      <w:lvlJc w:val="left"/>
      <w:pPr>
        <w:ind w:left="1600" w:hanging="360"/>
      </w:pPr>
      <w:rPr>
        <w:rFonts w:ascii="Symbol" w:hAnsi="Symbol"/>
      </w:rPr>
    </w:lvl>
    <w:lvl w:ilvl="4" w:tplc="9F18D6F8">
      <w:start w:val="1"/>
      <w:numFmt w:val="bullet"/>
      <w:lvlText w:val="o"/>
      <w:lvlJc w:val="left"/>
      <w:pPr>
        <w:ind w:left="2000" w:hanging="360"/>
      </w:pPr>
      <w:rPr>
        <w:rFonts w:ascii="Courier New" w:hAnsi="Courier New"/>
      </w:rPr>
    </w:lvl>
    <w:lvl w:ilvl="5" w:tplc="7A66016C">
      <w:start w:val="1"/>
      <w:numFmt w:val="bullet"/>
      <w:lvlText w:val=""/>
      <w:lvlJc w:val="left"/>
      <w:pPr>
        <w:ind w:left="2400" w:hanging="360"/>
      </w:pPr>
      <w:rPr>
        <w:rFonts w:ascii="Wingdings" w:hAnsi="Wingdings"/>
      </w:rPr>
    </w:lvl>
    <w:lvl w:ilvl="6" w:tplc="DBB2D8CE">
      <w:start w:val="1"/>
      <w:numFmt w:val="bullet"/>
      <w:lvlText w:val=""/>
      <w:lvlJc w:val="left"/>
      <w:pPr>
        <w:ind w:left="2800" w:hanging="360"/>
      </w:pPr>
      <w:rPr>
        <w:rFonts w:ascii="Symbol" w:hAnsi="Symbol"/>
      </w:rPr>
    </w:lvl>
    <w:lvl w:ilvl="7" w:tplc="1A06BAE4">
      <w:start w:val="1"/>
      <w:numFmt w:val="bullet"/>
      <w:lvlText w:val="o"/>
      <w:lvlJc w:val="left"/>
      <w:pPr>
        <w:ind w:left="3200" w:hanging="360"/>
      </w:pPr>
      <w:rPr>
        <w:rFonts w:ascii="Courier New" w:hAnsi="Courier New"/>
      </w:rPr>
    </w:lvl>
    <w:lvl w:ilvl="8" w:tplc="6E74C02A">
      <w:numFmt w:val="decimal"/>
      <w:lvlText w:val=""/>
      <w:lvlJc w:val="left"/>
    </w:lvl>
  </w:abstractNum>
  <w:abstractNum w:abstractNumId="4" w15:restartNumberingAfterBreak="0">
    <w:nsid w:val="35BA703D"/>
    <w:multiLevelType w:val="hybridMultilevel"/>
    <w:tmpl w:val="3FAE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C4DDD"/>
    <w:multiLevelType w:val="hybridMultilevel"/>
    <w:tmpl w:val="9AF8AC22"/>
    <w:lvl w:ilvl="0" w:tplc="1ACA0BFC">
      <w:start w:val="1"/>
      <w:numFmt w:val="decimal"/>
      <w:lvlText w:val="%1."/>
      <w:lvlJc w:val="left"/>
      <w:pPr>
        <w:ind w:left="400" w:hanging="360"/>
      </w:pPr>
    </w:lvl>
    <w:lvl w:ilvl="1" w:tplc="16B6AC24">
      <w:start w:val="1"/>
      <w:numFmt w:val="lowerLetter"/>
      <w:lvlText w:val="%2."/>
      <w:lvlJc w:val="left"/>
      <w:pPr>
        <w:ind w:left="800" w:hanging="360"/>
      </w:pPr>
    </w:lvl>
    <w:lvl w:ilvl="2" w:tplc="89167C0E">
      <w:start w:val="1"/>
      <w:numFmt w:val="lowerRoman"/>
      <w:lvlText w:val="%3."/>
      <w:lvlJc w:val="right"/>
      <w:pPr>
        <w:ind w:left="1200" w:hanging="180"/>
      </w:pPr>
    </w:lvl>
    <w:lvl w:ilvl="3" w:tplc="97621F8E">
      <w:start w:val="1"/>
      <w:numFmt w:val="decimal"/>
      <w:lvlText w:val="%4."/>
      <w:lvlJc w:val="left"/>
      <w:pPr>
        <w:ind w:left="1600" w:hanging="360"/>
      </w:pPr>
    </w:lvl>
    <w:lvl w:ilvl="4" w:tplc="FED6E67E">
      <w:start w:val="1"/>
      <w:numFmt w:val="lowerLetter"/>
      <w:lvlText w:val="%5."/>
      <w:lvlJc w:val="left"/>
      <w:pPr>
        <w:ind w:left="2000" w:hanging="360"/>
      </w:pPr>
    </w:lvl>
    <w:lvl w:ilvl="5" w:tplc="020023A4">
      <w:start w:val="1"/>
      <w:numFmt w:val="lowerRoman"/>
      <w:lvlText w:val="%6."/>
      <w:lvlJc w:val="right"/>
      <w:pPr>
        <w:ind w:left="2400" w:hanging="180"/>
      </w:pPr>
    </w:lvl>
    <w:lvl w:ilvl="6" w:tplc="CEB0DC90">
      <w:start w:val="1"/>
      <w:numFmt w:val="decimal"/>
      <w:lvlText w:val="%7."/>
      <w:lvlJc w:val="left"/>
      <w:pPr>
        <w:ind w:left="2800" w:hanging="360"/>
      </w:pPr>
    </w:lvl>
    <w:lvl w:ilvl="7" w:tplc="37EEEED8">
      <w:start w:val="1"/>
      <w:numFmt w:val="lowerLetter"/>
      <w:lvlText w:val="%8."/>
      <w:lvlJc w:val="left"/>
      <w:pPr>
        <w:ind w:left="3200" w:hanging="360"/>
      </w:pPr>
    </w:lvl>
    <w:lvl w:ilvl="8" w:tplc="7DEC5D9C">
      <w:numFmt w:val="decimal"/>
      <w:lvlText w:val=""/>
      <w:lvlJc w:val="left"/>
    </w:lvl>
  </w:abstractNum>
  <w:abstractNum w:abstractNumId="6" w15:restartNumberingAfterBreak="0">
    <w:nsid w:val="3EED51A8"/>
    <w:multiLevelType w:val="hybridMultilevel"/>
    <w:tmpl w:val="9E941238"/>
    <w:lvl w:ilvl="0" w:tplc="43B856EC">
      <w:start w:val="1"/>
      <w:numFmt w:val="decimal"/>
      <w:lvlText w:val="%1."/>
      <w:lvlJc w:val="left"/>
      <w:pPr>
        <w:ind w:left="400" w:hanging="360"/>
      </w:pPr>
    </w:lvl>
    <w:lvl w:ilvl="1" w:tplc="2598B354">
      <w:start w:val="1"/>
      <w:numFmt w:val="lowerLetter"/>
      <w:lvlText w:val="%2."/>
      <w:lvlJc w:val="left"/>
      <w:pPr>
        <w:ind w:left="800" w:hanging="360"/>
      </w:pPr>
    </w:lvl>
    <w:lvl w:ilvl="2" w:tplc="368E3BF4">
      <w:start w:val="1"/>
      <w:numFmt w:val="lowerRoman"/>
      <w:lvlText w:val="%3."/>
      <w:lvlJc w:val="right"/>
      <w:pPr>
        <w:ind w:left="1200" w:hanging="180"/>
      </w:pPr>
    </w:lvl>
    <w:lvl w:ilvl="3" w:tplc="497C67C8">
      <w:start w:val="1"/>
      <w:numFmt w:val="decimal"/>
      <w:lvlText w:val="%4."/>
      <w:lvlJc w:val="left"/>
      <w:pPr>
        <w:ind w:left="1600" w:hanging="360"/>
      </w:pPr>
    </w:lvl>
    <w:lvl w:ilvl="4" w:tplc="C902077C">
      <w:start w:val="1"/>
      <w:numFmt w:val="lowerLetter"/>
      <w:lvlText w:val="%5."/>
      <w:lvlJc w:val="left"/>
      <w:pPr>
        <w:ind w:left="2000" w:hanging="360"/>
      </w:pPr>
    </w:lvl>
    <w:lvl w:ilvl="5" w:tplc="933E58C8">
      <w:start w:val="1"/>
      <w:numFmt w:val="lowerRoman"/>
      <w:lvlText w:val="%6."/>
      <w:lvlJc w:val="right"/>
      <w:pPr>
        <w:ind w:left="2400" w:hanging="180"/>
      </w:pPr>
    </w:lvl>
    <w:lvl w:ilvl="6" w:tplc="4622D698">
      <w:start w:val="1"/>
      <w:numFmt w:val="decimal"/>
      <w:lvlText w:val="%7."/>
      <w:lvlJc w:val="left"/>
      <w:pPr>
        <w:ind w:left="2800" w:hanging="360"/>
      </w:pPr>
    </w:lvl>
    <w:lvl w:ilvl="7" w:tplc="459A9A16">
      <w:start w:val="1"/>
      <w:numFmt w:val="lowerLetter"/>
      <w:lvlText w:val="%8."/>
      <w:lvlJc w:val="left"/>
      <w:pPr>
        <w:ind w:left="3200" w:hanging="360"/>
      </w:pPr>
    </w:lvl>
    <w:lvl w:ilvl="8" w:tplc="D0587AE4">
      <w:numFmt w:val="decimal"/>
      <w:lvlText w:val=""/>
      <w:lvlJc w:val="left"/>
    </w:lvl>
  </w:abstractNum>
  <w:abstractNum w:abstractNumId="7" w15:restartNumberingAfterBreak="0">
    <w:nsid w:val="40D3317A"/>
    <w:multiLevelType w:val="hybridMultilevel"/>
    <w:tmpl w:val="B1C2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56ABD"/>
    <w:multiLevelType w:val="hybridMultilevel"/>
    <w:tmpl w:val="674C34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0" w15:restartNumberingAfterBreak="0">
    <w:nsid w:val="64FF572F"/>
    <w:multiLevelType w:val="hybridMultilevel"/>
    <w:tmpl w:val="F82C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A0918"/>
    <w:multiLevelType w:val="hybridMultilevel"/>
    <w:tmpl w:val="2AF0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96B0C"/>
    <w:multiLevelType w:val="hybridMultilevel"/>
    <w:tmpl w:val="E6A4C37A"/>
    <w:lvl w:ilvl="0" w:tplc="9C001B08">
      <w:start w:val="1"/>
      <w:numFmt w:val="bullet"/>
      <w:lvlText w:val=""/>
      <w:lvlJc w:val="left"/>
      <w:pPr>
        <w:ind w:left="400" w:hanging="360"/>
      </w:pPr>
      <w:rPr>
        <w:rFonts w:ascii="Symbol" w:hAnsi="Symbol"/>
      </w:rPr>
    </w:lvl>
    <w:lvl w:ilvl="1" w:tplc="469EA472">
      <w:start w:val="1"/>
      <w:numFmt w:val="bullet"/>
      <w:lvlText w:val="o"/>
      <w:lvlJc w:val="left"/>
      <w:pPr>
        <w:ind w:left="800" w:hanging="360"/>
      </w:pPr>
      <w:rPr>
        <w:rFonts w:ascii="Courier New" w:hAnsi="Courier New"/>
      </w:rPr>
    </w:lvl>
    <w:lvl w:ilvl="2" w:tplc="49D0430E">
      <w:start w:val="1"/>
      <w:numFmt w:val="bullet"/>
      <w:lvlText w:val=""/>
      <w:lvlJc w:val="left"/>
      <w:pPr>
        <w:ind w:left="1200" w:hanging="360"/>
      </w:pPr>
      <w:rPr>
        <w:rFonts w:ascii="Wingdings" w:hAnsi="Wingdings"/>
      </w:rPr>
    </w:lvl>
    <w:lvl w:ilvl="3" w:tplc="D772DA48">
      <w:start w:val="1"/>
      <w:numFmt w:val="bullet"/>
      <w:lvlText w:val=""/>
      <w:lvlJc w:val="left"/>
      <w:pPr>
        <w:ind w:left="1600" w:hanging="360"/>
      </w:pPr>
      <w:rPr>
        <w:rFonts w:ascii="Symbol" w:hAnsi="Symbol"/>
      </w:rPr>
    </w:lvl>
    <w:lvl w:ilvl="4" w:tplc="9A727E60">
      <w:start w:val="1"/>
      <w:numFmt w:val="bullet"/>
      <w:lvlText w:val="o"/>
      <w:lvlJc w:val="left"/>
      <w:pPr>
        <w:ind w:left="2000" w:hanging="360"/>
      </w:pPr>
      <w:rPr>
        <w:rFonts w:ascii="Courier New" w:hAnsi="Courier New"/>
      </w:rPr>
    </w:lvl>
    <w:lvl w:ilvl="5" w:tplc="9ADA2410">
      <w:start w:val="1"/>
      <w:numFmt w:val="bullet"/>
      <w:lvlText w:val=""/>
      <w:lvlJc w:val="left"/>
      <w:pPr>
        <w:ind w:left="2400" w:hanging="360"/>
      </w:pPr>
      <w:rPr>
        <w:rFonts w:ascii="Wingdings" w:hAnsi="Wingdings"/>
      </w:rPr>
    </w:lvl>
    <w:lvl w:ilvl="6" w:tplc="CE0C3FAC">
      <w:start w:val="1"/>
      <w:numFmt w:val="bullet"/>
      <w:lvlText w:val=""/>
      <w:lvlJc w:val="left"/>
      <w:pPr>
        <w:ind w:left="2800" w:hanging="360"/>
      </w:pPr>
      <w:rPr>
        <w:rFonts w:ascii="Symbol" w:hAnsi="Symbol"/>
      </w:rPr>
    </w:lvl>
    <w:lvl w:ilvl="7" w:tplc="061C9FA4">
      <w:start w:val="1"/>
      <w:numFmt w:val="bullet"/>
      <w:lvlText w:val="o"/>
      <w:lvlJc w:val="left"/>
      <w:pPr>
        <w:ind w:left="3200" w:hanging="360"/>
      </w:pPr>
      <w:rPr>
        <w:rFonts w:ascii="Courier New" w:hAnsi="Courier New"/>
      </w:rPr>
    </w:lvl>
    <w:lvl w:ilvl="8" w:tplc="BE18373C">
      <w:numFmt w:val="decimal"/>
      <w:lvlText w:val=""/>
      <w:lvlJc w:val="left"/>
    </w:lvl>
  </w:abstractNum>
  <w:abstractNum w:abstractNumId="13" w15:restartNumberingAfterBreak="0">
    <w:nsid w:val="670E5675"/>
    <w:multiLevelType w:val="hybridMultilevel"/>
    <w:tmpl w:val="0AAA8822"/>
    <w:lvl w:ilvl="0" w:tplc="F9A26DA0">
      <w:start w:val="1"/>
      <w:numFmt w:val="bullet"/>
      <w:lvlText w:val=""/>
      <w:lvlJc w:val="left"/>
      <w:pPr>
        <w:ind w:left="400" w:hanging="360"/>
      </w:pPr>
      <w:rPr>
        <w:rFonts w:ascii="Symbol" w:hAnsi="Symbol"/>
      </w:rPr>
    </w:lvl>
    <w:lvl w:ilvl="1" w:tplc="F8F0CE24">
      <w:start w:val="1"/>
      <w:numFmt w:val="bullet"/>
      <w:lvlText w:val="o"/>
      <w:lvlJc w:val="left"/>
      <w:pPr>
        <w:ind w:left="800" w:hanging="360"/>
      </w:pPr>
      <w:rPr>
        <w:rFonts w:ascii="Courier New" w:hAnsi="Courier New"/>
      </w:rPr>
    </w:lvl>
    <w:lvl w:ilvl="2" w:tplc="C7EE8D7A">
      <w:start w:val="1"/>
      <w:numFmt w:val="bullet"/>
      <w:lvlText w:val=""/>
      <w:lvlJc w:val="left"/>
      <w:pPr>
        <w:ind w:left="1200" w:hanging="360"/>
      </w:pPr>
      <w:rPr>
        <w:rFonts w:ascii="Wingdings" w:hAnsi="Wingdings"/>
      </w:rPr>
    </w:lvl>
    <w:lvl w:ilvl="3" w:tplc="00EE151C">
      <w:start w:val="1"/>
      <w:numFmt w:val="bullet"/>
      <w:lvlText w:val=""/>
      <w:lvlJc w:val="left"/>
      <w:pPr>
        <w:ind w:left="1600" w:hanging="360"/>
      </w:pPr>
      <w:rPr>
        <w:rFonts w:ascii="Symbol" w:hAnsi="Symbol"/>
      </w:rPr>
    </w:lvl>
    <w:lvl w:ilvl="4" w:tplc="1F961574">
      <w:start w:val="1"/>
      <w:numFmt w:val="bullet"/>
      <w:lvlText w:val="o"/>
      <w:lvlJc w:val="left"/>
      <w:pPr>
        <w:ind w:left="2000" w:hanging="360"/>
      </w:pPr>
      <w:rPr>
        <w:rFonts w:ascii="Courier New" w:hAnsi="Courier New"/>
      </w:rPr>
    </w:lvl>
    <w:lvl w:ilvl="5" w:tplc="826267EA">
      <w:start w:val="1"/>
      <w:numFmt w:val="bullet"/>
      <w:lvlText w:val=""/>
      <w:lvlJc w:val="left"/>
      <w:pPr>
        <w:ind w:left="2400" w:hanging="360"/>
      </w:pPr>
      <w:rPr>
        <w:rFonts w:ascii="Wingdings" w:hAnsi="Wingdings"/>
      </w:rPr>
    </w:lvl>
    <w:lvl w:ilvl="6" w:tplc="DAFA2C22">
      <w:start w:val="1"/>
      <w:numFmt w:val="bullet"/>
      <w:lvlText w:val=""/>
      <w:lvlJc w:val="left"/>
      <w:pPr>
        <w:ind w:left="2800" w:hanging="360"/>
      </w:pPr>
      <w:rPr>
        <w:rFonts w:ascii="Symbol" w:hAnsi="Symbol"/>
      </w:rPr>
    </w:lvl>
    <w:lvl w:ilvl="7" w:tplc="595EE592">
      <w:start w:val="1"/>
      <w:numFmt w:val="bullet"/>
      <w:lvlText w:val="o"/>
      <w:lvlJc w:val="left"/>
      <w:pPr>
        <w:ind w:left="3200" w:hanging="360"/>
      </w:pPr>
      <w:rPr>
        <w:rFonts w:ascii="Courier New" w:hAnsi="Courier New"/>
      </w:rPr>
    </w:lvl>
    <w:lvl w:ilvl="8" w:tplc="8D4034B2">
      <w:numFmt w:val="decimal"/>
      <w:lvlText w:val=""/>
      <w:lvlJc w:val="left"/>
    </w:lvl>
  </w:abstractNum>
  <w:abstractNum w:abstractNumId="14" w15:restartNumberingAfterBreak="0">
    <w:nsid w:val="69C16EF9"/>
    <w:multiLevelType w:val="hybridMultilevel"/>
    <w:tmpl w:val="114CDC1C"/>
    <w:lvl w:ilvl="0" w:tplc="99FAA528">
      <w:start w:val="1"/>
      <w:numFmt w:val="bullet"/>
      <w:lvlText w:val=""/>
      <w:lvlJc w:val="left"/>
      <w:pPr>
        <w:ind w:left="400" w:hanging="360"/>
      </w:pPr>
      <w:rPr>
        <w:rFonts w:ascii="Symbol" w:hAnsi="Symbol"/>
      </w:rPr>
    </w:lvl>
    <w:lvl w:ilvl="1" w:tplc="92F8BB90">
      <w:start w:val="1"/>
      <w:numFmt w:val="bullet"/>
      <w:lvlText w:val="o"/>
      <w:lvlJc w:val="left"/>
      <w:pPr>
        <w:ind w:left="800" w:hanging="360"/>
      </w:pPr>
      <w:rPr>
        <w:rFonts w:ascii="Courier New" w:hAnsi="Courier New"/>
      </w:rPr>
    </w:lvl>
    <w:lvl w:ilvl="2" w:tplc="34620B52">
      <w:start w:val="1"/>
      <w:numFmt w:val="bullet"/>
      <w:lvlText w:val=""/>
      <w:lvlJc w:val="left"/>
      <w:pPr>
        <w:ind w:left="1200" w:hanging="360"/>
      </w:pPr>
      <w:rPr>
        <w:rFonts w:ascii="Wingdings" w:hAnsi="Wingdings"/>
      </w:rPr>
    </w:lvl>
    <w:lvl w:ilvl="3" w:tplc="BFBE86AC">
      <w:start w:val="1"/>
      <w:numFmt w:val="bullet"/>
      <w:lvlText w:val=""/>
      <w:lvlJc w:val="left"/>
      <w:pPr>
        <w:ind w:left="1600" w:hanging="360"/>
      </w:pPr>
      <w:rPr>
        <w:rFonts w:ascii="Symbol" w:hAnsi="Symbol"/>
      </w:rPr>
    </w:lvl>
    <w:lvl w:ilvl="4" w:tplc="01321286">
      <w:start w:val="1"/>
      <w:numFmt w:val="bullet"/>
      <w:lvlText w:val="o"/>
      <w:lvlJc w:val="left"/>
      <w:pPr>
        <w:ind w:left="2000" w:hanging="360"/>
      </w:pPr>
      <w:rPr>
        <w:rFonts w:ascii="Courier New" w:hAnsi="Courier New"/>
      </w:rPr>
    </w:lvl>
    <w:lvl w:ilvl="5" w:tplc="00EEF28A">
      <w:start w:val="1"/>
      <w:numFmt w:val="bullet"/>
      <w:lvlText w:val=""/>
      <w:lvlJc w:val="left"/>
      <w:pPr>
        <w:ind w:left="2400" w:hanging="360"/>
      </w:pPr>
      <w:rPr>
        <w:rFonts w:ascii="Wingdings" w:hAnsi="Wingdings"/>
      </w:rPr>
    </w:lvl>
    <w:lvl w:ilvl="6" w:tplc="56B24E0E">
      <w:start w:val="1"/>
      <w:numFmt w:val="bullet"/>
      <w:lvlText w:val=""/>
      <w:lvlJc w:val="left"/>
      <w:pPr>
        <w:ind w:left="2800" w:hanging="360"/>
      </w:pPr>
      <w:rPr>
        <w:rFonts w:ascii="Symbol" w:hAnsi="Symbol"/>
      </w:rPr>
    </w:lvl>
    <w:lvl w:ilvl="7" w:tplc="D4705F3C">
      <w:start w:val="1"/>
      <w:numFmt w:val="bullet"/>
      <w:lvlText w:val="o"/>
      <w:lvlJc w:val="left"/>
      <w:pPr>
        <w:ind w:left="3200" w:hanging="360"/>
      </w:pPr>
      <w:rPr>
        <w:rFonts w:ascii="Courier New" w:hAnsi="Courier New"/>
      </w:rPr>
    </w:lvl>
    <w:lvl w:ilvl="8" w:tplc="E40C1B18">
      <w:numFmt w:val="decimal"/>
      <w:lvlText w:val=""/>
      <w:lvlJc w:val="left"/>
    </w:lvl>
  </w:abstractNum>
  <w:abstractNum w:abstractNumId="15" w15:restartNumberingAfterBreak="0">
    <w:nsid w:val="70D90158"/>
    <w:multiLevelType w:val="hybridMultilevel"/>
    <w:tmpl w:val="6BCAABDE"/>
    <w:lvl w:ilvl="0" w:tplc="D6DE82BE">
      <w:start w:val="1"/>
      <w:numFmt w:val="bullet"/>
      <w:lvlText w:val=""/>
      <w:lvlJc w:val="left"/>
      <w:pPr>
        <w:ind w:left="400" w:hanging="360"/>
      </w:pPr>
      <w:rPr>
        <w:rFonts w:ascii="Symbol" w:hAnsi="Symbol"/>
      </w:rPr>
    </w:lvl>
    <w:lvl w:ilvl="1" w:tplc="2B40A3E2">
      <w:start w:val="1"/>
      <w:numFmt w:val="bullet"/>
      <w:lvlText w:val="o"/>
      <w:lvlJc w:val="left"/>
      <w:pPr>
        <w:ind w:left="800" w:hanging="360"/>
      </w:pPr>
      <w:rPr>
        <w:rFonts w:ascii="Courier New" w:hAnsi="Courier New"/>
      </w:rPr>
    </w:lvl>
    <w:lvl w:ilvl="2" w:tplc="C14879D8">
      <w:start w:val="1"/>
      <w:numFmt w:val="bullet"/>
      <w:lvlText w:val=""/>
      <w:lvlJc w:val="left"/>
      <w:pPr>
        <w:ind w:left="1200" w:hanging="360"/>
      </w:pPr>
      <w:rPr>
        <w:rFonts w:ascii="Wingdings" w:hAnsi="Wingdings"/>
      </w:rPr>
    </w:lvl>
    <w:lvl w:ilvl="3" w:tplc="B6962B02">
      <w:start w:val="1"/>
      <w:numFmt w:val="bullet"/>
      <w:lvlText w:val=""/>
      <w:lvlJc w:val="left"/>
      <w:pPr>
        <w:ind w:left="1600" w:hanging="360"/>
      </w:pPr>
      <w:rPr>
        <w:rFonts w:ascii="Symbol" w:hAnsi="Symbol"/>
      </w:rPr>
    </w:lvl>
    <w:lvl w:ilvl="4" w:tplc="62F4851E">
      <w:start w:val="1"/>
      <w:numFmt w:val="bullet"/>
      <w:lvlText w:val="o"/>
      <w:lvlJc w:val="left"/>
      <w:pPr>
        <w:ind w:left="2000" w:hanging="360"/>
      </w:pPr>
      <w:rPr>
        <w:rFonts w:ascii="Courier New" w:hAnsi="Courier New"/>
      </w:rPr>
    </w:lvl>
    <w:lvl w:ilvl="5" w:tplc="5E08F0AE">
      <w:start w:val="1"/>
      <w:numFmt w:val="bullet"/>
      <w:lvlText w:val=""/>
      <w:lvlJc w:val="left"/>
      <w:pPr>
        <w:ind w:left="2400" w:hanging="360"/>
      </w:pPr>
      <w:rPr>
        <w:rFonts w:ascii="Wingdings" w:hAnsi="Wingdings"/>
      </w:rPr>
    </w:lvl>
    <w:lvl w:ilvl="6" w:tplc="0B1A45E0">
      <w:start w:val="1"/>
      <w:numFmt w:val="bullet"/>
      <w:lvlText w:val=""/>
      <w:lvlJc w:val="left"/>
      <w:pPr>
        <w:ind w:left="2800" w:hanging="360"/>
      </w:pPr>
      <w:rPr>
        <w:rFonts w:ascii="Symbol" w:hAnsi="Symbol"/>
      </w:rPr>
    </w:lvl>
    <w:lvl w:ilvl="7" w:tplc="05BA0B1A">
      <w:start w:val="1"/>
      <w:numFmt w:val="bullet"/>
      <w:lvlText w:val="o"/>
      <w:lvlJc w:val="left"/>
      <w:pPr>
        <w:ind w:left="3200" w:hanging="360"/>
      </w:pPr>
      <w:rPr>
        <w:rFonts w:ascii="Courier New" w:hAnsi="Courier New"/>
      </w:rPr>
    </w:lvl>
    <w:lvl w:ilvl="8" w:tplc="50821464">
      <w:numFmt w:val="decimal"/>
      <w:lvlText w:val=""/>
      <w:lvlJc w:val="left"/>
    </w:lvl>
  </w:abstractNum>
  <w:abstractNum w:abstractNumId="16" w15:restartNumberingAfterBreak="0">
    <w:nsid w:val="755D3528"/>
    <w:multiLevelType w:val="hybridMultilevel"/>
    <w:tmpl w:val="10340982"/>
    <w:lvl w:ilvl="0" w:tplc="21E829D0">
      <w:start w:val="1"/>
      <w:numFmt w:val="bullet"/>
      <w:lvlText w:val=""/>
      <w:lvlJc w:val="left"/>
      <w:pPr>
        <w:ind w:left="400" w:hanging="360"/>
      </w:pPr>
      <w:rPr>
        <w:rFonts w:ascii="Symbol" w:hAnsi="Symbol"/>
      </w:rPr>
    </w:lvl>
    <w:lvl w:ilvl="1" w:tplc="89E6E004">
      <w:start w:val="1"/>
      <w:numFmt w:val="bullet"/>
      <w:lvlText w:val="o"/>
      <w:lvlJc w:val="left"/>
      <w:pPr>
        <w:ind w:left="800" w:hanging="360"/>
      </w:pPr>
      <w:rPr>
        <w:rFonts w:ascii="Courier New" w:hAnsi="Courier New"/>
      </w:rPr>
    </w:lvl>
    <w:lvl w:ilvl="2" w:tplc="7B46A00E">
      <w:start w:val="1"/>
      <w:numFmt w:val="bullet"/>
      <w:lvlText w:val=""/>
      <w:lvlJc w:val="left"/>
      <w:pPr>
        <w:ind w:left="1200" w:hanging="360"/>
      </w:pPr>
      <w:rPr>
        <w:rFonts w:ascii="Wingdings" w:hAnsi="Wingdings"/>
      </w:rPr>
    </w:lvl>
    <w:lvl w:ilvl="3" w:tplc="D93EA368">
      <w:start w:val="1"/>
      <w:numFmt w:val="bullet"/>
      <w:lvlText w:val=""/>
      <w:lvlJc w:val="left"/>
      <w:pPr>
        <w:ind w:left="1600" w:hanging="360"/>
      </w:pPr>
      <w:rPr>
        <w:rFonts w:ascii="Symbol" w:hAnsi="Symbol"/>
      </w:rPr>
    </w:lvl>
    <w:lvl w:ilvl="4" w:tplc="57663CE0">
      <w:start w:val="1"/>
      <w:numFmt w:val="bullet"/>
      <w:lvlText w:val="o"/>
      <w:lvlJc w:val="left"/>
      <w:pPr>
        <w:ind w:left="2000" w:hanging="360"/>
      </w:pPr>
      <w:rPr>
        <w:rFonts w:ascii="Courier New" w:hAnsi="Courier New"/>
      </w:rPr>
    </w:lvl>
    <w:lvl w:ilvl="5" w:tplc="A7C476A2">
      <w:start w:val="1"/>
      <w:numFmt w:val="bullet"/>
      <w:lvlText w:val=""/>
      <w:lvlJc w:val="left"/>
      <w:pPr>
        <w:ind w:left="2400" w:hanging="360"/>
      </w:pPr>
      <w:rPr>
        <w:rFonts w:ascii="Wingdings" w:hAnsi="Wingdings"/>
      </w:rPr>
    </w:lvl>
    <w:lvl w:ilvl="6" w:tplc="A6324CF8">
      <w:start w:val="1"/>
      <w:numFmt w:val="bullet"/>
      <w:lvlText w:val=""/>
      <w:lvlJc w:val="left"/>
      <w:pPr>
        <w:ind w:left="2800" w:hanging="360"/>
      </w:pPr>
      <w:rPr>
        <w:rFonts w:ascii="Symbol" w:hAnsi="Symbol"/>
      </w:rPr>
    </w:lvl>
    <w:lvl w:ilvl="7" w:tplc="2BDE627E">
      <w:start w:val="1"/>
      <w:numFmt w:val="bullet"/>
      <w:lvlText w:val="o"/>
      <w:lvlJc w:val="left"/>
      <w:pPr>
        <w:ind w:left="3200" w:hanging="360"/>
      </w:pPr>
      <w:rPr>
        <w:rFonts w:ascii="Courier New" w:hAnsi="Courier New"/>
      </w:rPr>
    </w:lvl>
    <w:lvl w:ilvl="8" w:tplc="D4A09154">
      <w:numFmt w:val="decimal"/>
      <w:lvlText w:val=""/>
      <w:lvlJc w:val="left"/>
    </w:lvl>
  </w:abstractNum>
  <w:abstractNum w:abstractNumId="17" w15:restartNumberingAfterBreak="0">
    <w:nsid w:val="7BFD7D73"/>
    <w:multiLevelType w:val="hybridMultilevel"/>
    <w:tmpl w:val="E0C2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1985850">
    <w:abstractNumId w:val="3"/>
  </w:num>
  <w:num w:numId="2" w16cid:durableId="1778867420">
    <w:abstractNumId w:val="5"/>
  </w:num>
  <w:num w:numId="3" w16cid:durableId="1219979762">
    <w:abstractNumId w:val="13"/>
  </w:num>
  <w:num w:numId="4" w16cid:durableId="1819959552">
    <w:abstractNumId w:val="6"/>
  </w:num>
  <w:num w:numId="5" w16cid:durableId="279343731">
    <w:abstractNumId w:val="1"/>
  </w:num>
  <w:num w:numId="6" w16cid:durableId="1126849771">
    <w:abstractNumId w:val="16"/>
  </w:num>
  <w:num w:numId="7" w16cid:durableId="1926568513">
    <w:abstractNumId w:val="12"/>
  </w:num>
  <w:num w:numId="8" w16cid:durableId="275068210">
    <w:abstractNumId w:val="14"/>
  </w:num>
  <w:num w:numId="9" w16cid:durableId="11229648">
    <w:abstractNumId w:val="15"/>
  </w:num>
  <w:num w:numId="10" w16cid:durableId="197164406">
    <w:abstractNumId w:val="0"/>
  </w:num>
  <w:num w:numId="11" w16cid:durableId="613557664">
    <w:abstractNumId w:val="2"/>
  </w:num>
  <w:num w:numId="12" w16cid:durableId="653145392">
    <w:abstractNumId w:val="4"/>
  </w:num>
  <w:num w:numId="13" w16cid:durableId="407732045">
    <w:abstractNumId w:val="17"/>
  </w:num>
  <w:num w:numId="14" w16cid:durableId="206069524">
    <w:abstractNumId w:val="7"/>
  </w:num>
  <w:num w:numId="15" w16cid:durableId="1679234401">
    <w:abstractNumId w:val="11"/>
  </w:num>
  <w:num w:numId="16" w16cid:durableId="1658536161">
    <w:abstractNumId w:val="9"/>
  </w:num>
  <w:num w:numId="17" w16cid:durableId="1267730423">
    <w:abstractNumId w:val="8"/>
  </w:num>
  <w:num w:numId="18" w16cid:durableId="1251501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6351B"/>
    <w:rsid w:val="002F1A6A"/>
    <w:rsid w:val="0046351B"/>
    <w:rsid w:val="005D6F82"/>
    <w:rsid w:val="006250E2"/>
    <w:rsid w:val="006E5D3B"/>
    <w:rsid w:val="00D7443A"/>
    <w:rsid w:val="00EA5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A43CC4"/>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Bullets,P‡rrafo de lista,lp1,ANNEX,List Square,ADB paragraph numbering,List Paragraph (numbered (a)),Main numbered paragraph,Bullet,Numeracion iniciativas,ASPECTOS GENERALES,Cuadro 2-1,Párrafo de lista2,Footnote"/>
    <w:basedOn w:val="Normal"/>
    <w:link w:val="ListParagraphChar"/>
    <w:uiPriority w:val="34"/>
    <w:qFormat/>
    <w:rsid w:val="002F1A6A"/>
    <w:pPr>
      <w:ind w:left="720"/>
      <w:contextualSpacing/>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2F1A6A"/>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2F1A6A"/>
    <w:rPr>
      <w:sz w:val="20"/>
      <w:szCs w:val="20"/>
    </w:rPr>
  </w:style>
  <w:style w:type="character" w:styleId="FootnoteReference">
    <w:name w:val="footnote reference"/>
    <w:basedOn w:val="DefaultParagraphFont"/>
    <w:uiPriority w:val="99"/>
    <w:semiHidden/>
    <w:unhideWhenUsed/>
    <w:rsid w:val="002F1A6A"/>
    <w:rPr>
      <w:vertAlign w:val="superscript"/>
    </w:rPr>
  </w:style>
  <w:style w:type="table" w:styleId="TableGrid">
    <w:name w:val="Table Grid"/>
    <w:basedOn w:val="TableNormal"/>
    <w:uiPriority w:val="39"/>
    <w:rsid w:val="002F1A6A"/>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1A6A"/>
    <w:rPr>
      <w:sz w:val="16"/>
      <w:szCs w:val="16"/>
    </w:rPr>
  </w:style>
  <w:style w:type="character" w:customStyle="1" w:styleId="ListParagraphChar">
    <w:name w:val="List Paragraph Char"/>
    <w:aliases w:val="Dot pt Char,List Paragraph1 Char,Bullets Char,P‡rrafo de lista Char,lp1 Char,ANNEX Char,List Square Char,ADB paragraph numbering Char,List Paragraph (numbered (a)) Char,Main numbered paragraph Char,Bullet Char,ASPECTOS GENERALES Char"/>
    <w:link w:val="ListParagraph"/>
    <w:uiPriority w:val="34"/>
    <w:qFormat/>
    <w:rsid w:val="002F1A6A"/>
  </w:style>
  <w:style w:type="paragraph" w:styleId="CommentText">
    <w:name w:val="annotation text"/>
    <w:basedOn w:val="Normal"/>
    <w:link w:val="CommentTextChar"/>
    <w:uiPriority w:val="99"/>
    <w:semiHidden/>
    <w:unhideWhenUsed/>
    <w:rsid w:val="002F1A6A"/>
    <w:rPr>
      <w:sz w:val="20"/>
      <w:szCs w:val="20"/>
    </w:rPr>
  </w:style>
  <w:style w:type="character" w:customStyle="1" w:styleId="CommentTextChar">
    <w:name w:val="Comment Text Char"/>
    <w:basedOn w:val="DefaultParagraphFont"/>
    <w:link w:val="CommentText"/>
    <w:uiPriority w:val="99"/>
    <w:semiHidden/>
    <w:rsid w:val="002F1A6A"/>
    <w:rPr>
      <w:sz w:val="20"/>
      <w:szCs w:val="20"/>
    </w:rPr>
  </w:style>
  <w:style w:type="paragraph" w:styleId="CommentSubject">
    <w:name w:val="annotation subject"/>
    <w:basedOn w:val="CommentText"/>
    <w:next w:val="CommentText"/>
    <w:link w:val="CommentSubjectChar"/>
    <w:uiPriority w:val="99"/>
    <w:semiHidden/>
    <w:unhideWhenUsed/>
    <w:rsid w:val="002F1A6A"/>
    <w:rPr>
      <w:b/>
      <w:bCs/>
    </w:rPr>
  </w:style>
  <w:style w:type="character" w:customStyle="1" w:styleId="CommentSubjectChar">
    <w:name w:val="Comment Subject Char"/>
    <w:basedOn w:val="CommentTextChar"/>
    <w:link w:val="CommentSubject"/>
    <w:uiPriority w:val="99"/>
    <w:semiHidden/>
    <w:rsid w:val="002F1A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3</cp:revision>
  <dcterms:created xsi:type="dcterms:W3CDTF">2024-05-31T16:29:00Z</dcterms:created>
  <dcterms:modified xsi:type="dcterms:W3CDTF">2024-06-02T23:07:00Z</dcterms:modified>
</cp:coreProperties>
</file>