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A8CE4" w14:textId="77777777" w:rsidR="000A62EE" w:rsidRDefault="00000000">
      <w:pPr>
        <w:spacing w:before="120" w:after="120"/>
        <w:jc w:val="center"/>
      </w:pPr>
      <w:r>
        <w:rPr>
          <w:noProof/>
        </w:rPr>
        <w:drawing>
          <wp:anchor distT="0" distB="0" distL="114300" distR="114300" simplePos="0" relativeHeight="251658240" behindDoc="0" locked="0" layoutInCell="1" allowOverlap="1" wp14:anchorId="524B4E09" wp14:editId="2DFD9AB8">
            <wp:simplePos x="0" y="0"/>
            <wp:positionH relativeFrom="page">
              <wp:posOffset>0</wp:posOffset>
            </wp:positionH>
            <wp:positionV relativeFrom="paragraph">
              <wp:posOffset>0</wp:posOffset>
            </wp:positionV>
            <wp:extent cx="7562850" cy="2268855"/>
            <wp:effectExtent l="0" t="0" r="0" b="0"/>
            <wp:wrapTopAndBottom/>
            <wp:docPr id="1" name="Drawing 0" descr="7c73160f894fd82e4a17a0a613f1b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c73160f894fd82e4a17a0a613f1b4d9.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7A1BD101" w14:textId="77777777" w:rsidR="000A62EE" w:rsidRPr="00662E3F" w:rsidRDefault="00000000">
      <w:pPr>
        <w:spacing w:before="120" w:after="120" w:line="336" w:lineRule="auto"/>
        <w:rPr>
          <w:rFonts w:ascii="Bodoni 72 Book" w:hAnsi="Bodoni 72 Book"/>
        </w:rPr>
      </w:pPr>
      <w:r w:rsidRPr="00662E3F">
        <w:rPr>
          <w:rFonts w:ascii="Bodoni 72 Book" w:eastAsia="Prata" w:hAnsi="Bodoni 72 Book" w:cs="Prata"/>
          <w:color w:val="897C75"/>
          <w:sz w:val="64"/>
          <w:szCs w:val="64"/>
        </w:rPr>
        <w:t xml:space="preserve">Key Considerations  </w:t>
      </w:r>
    </w:p>
    <w:p w14:paraId="182E0CD3" w14:textId="77777777" w:rsidR="000A62EE" w:rsidRDefault="000A62EE">
      <w:pPr>
        <w:pBdr>
          <w:bottom w:val="single" w:sz="6" w:space="0" w:color="897C75"/>
        </w:pBdr>
        <w:spacing w:before="120" w:after="120" w:line="0" w:lineRule="auto"/>
      </w:pPr>
    </w:p>
    <w:p w14:paraId="4592E732" w14:textId="7C47A3FD" w:rsidR="00662E3F" w:rsidRPr="00662E3F" w:rsidRDefault="00662E3F" w:rsidP="00662E3F">
      <w:pPr>
        <w:spacing w:before="120" w:after="120" w:line="336" w:lineRule="auto"/>
        <w:rPr>
          <w:rFonts w:ascii="Avenir Next" w:eastAsia="Montserrat" w:hAnsi="Avenir Next" w:cs="Montserrat"/>
          <w:color w:val="000000"/>
          <w:sz w:val="20"/>
          <w:szCs w:val="20"/>
        </w:rPr>
      </w:pPr>
      <w:proofErr w:type="gramStart"/>
      <w:r w:rsidRPr="00662E3F">
        <w:rPr>
          <w:rFonts w:ascii="Avenir Next" w:eastAsia="Montserrat" w:hAnsi="Avenir Next" w:cs="Montserrat"/>
          <w:color w:val="000000"/>
          <w:sz w:val="20"/>
          <w:szCs w:val="20"/>
        </w:rPr>
        <w:t>In order to</w:t>
      </w:r>
      <w:proofErr w:type="gramEnd"/>
      <w:r w:rsidRPr="00662E3F">
        <w:rPr>
          <w:rFonts w:ascii="Avenir Next" w:eastAsia="Montserrat" w:hAnsi="Avenir Next" w:cs="Montserrat"/>
          <w:color w:val="000000"/>
          <w:sz w:val="20"/>
          <w:szCs w:val="20"/>
        </w:rPr>
        <w:t xml:space="preserve"> receive results-based payments, countries must present their most recent summary of information demonstrating how the safeguards have been addressed and respected (usually referred to as the summary of information or SOI)</w:t>
      </w:r>
      <w:r>
        <w:rPr>
          <w:rStyle w:val="FootnoteReference"/>
          <w:rFonts w:ascii="Avenir Next" w:eastAsia="Montserrat" w:hAnsi="Avenir Next" w:cs="Montserrat"/>
          <w:color w:val="000000"/>
          <w:sz w:val="20"/>
          <w:szCs w:val="20"/>
        </w:rPr>
        <w:footnoteReference w:id="1"/>
      </w:r>
      <w:r w:rsidRPr="00662E3F">
        <w:rPr>
          <w:rFonts w:ascii="Avenir Next" w:eastAsia="Montserrat" w:hAnsi="Avenir Next" w:cs="Montserrat"/>
          <w:color w:val="000000"/>
          <w:sz w:val="20"/>
          <w:szCs w:val="20"/>
        </w:rPr>
        <w:t>, which must be consistent with the guidance from the UNFCCC</w:t>
      </w:r>
      <w:r>
        <w:rPr>
          <w:rStyle w:val="FootnoteReference"/>
          <w:rFonts w:ascii="Avenir Next" w:eastAsia="Montserrat" w:hAnsi="Avenir Next" w:cs="Montserrat"/>
          <w:color w:val="000000"/>
          <w:sz w:val="20"/>
          <w:szCs w:val="20"/>
        </w:rPr>
        <w:footnoteReference w:id="2"/>
      </w:r>
      <w:r>
        <w:rPr>
          <w:rFonts w:ascii="Avenir Next" w:eastAsia="Montserrat" w:hAnsi="Avenir Next" w:cs="Montserrat"/>
          <w:color w:val="000000"/>
          <w:sz w:val="20"/>
          <w:szCs w:val="20"/>
        </w:rPr>
        <w:t xml:space="preserve"> </w:t>
      </w:r>
      <w:r w:rsidRPr="00662E3F">
        <w:rPr>
          <w:rFonts w:ascii="Avenir Next" w:eastAsia="Montserrat" w:hAnsi="Avenir Next" w:cs="Montserrat"/>
          <w:color w:val="000000"/>
          <w:sz w:val="20"/>
          <w:szCs w:val="20"/>
        </w:rPr>
        <w:t>and international best practices. Sub-national governments are also expected to have submitted to the appropriate national government entity a safeguards report at the respective scale that is consistent with national reporting to the UNFCCC for any year where results-based payments are sought.</w:t>
      </w:r>
    </w:p>
    <w:p w14:paraId="54FA5BEA" w14:textId="0C4F47D1"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The safeguards information system (SIS) and the SOI are directly related. While the SIS is intended to serve as a tool for each country and jurisdiction to gather, compile, and provide information as to how the safeguards are being addressed and respected while implementing REDD+ activities; the SOI is the means by which REDD+ countries and jurisdiction</w:t>
      </w:r>
      <w:r w:rsidR="00156C55">
        <w:rPr>
          <w:rFonts w:ascii="Avenir Next" w:eastAsia="Montserrat" w:hAnsi="Avenir Next" w:cs="Montserrat"/>
          <w:color w:val="000000"/>
          <w:sz w:val="20"/>
          <w:szCs w:val="20"/>
        </w:rPr>
        <w:t>s</w:t>
      </w:r>
      <w:r w:rsidRPr="00662E3F">
        <w:rPr>
          <w:rFonts w:ascii="Avenir Next" w:eastAsia="Montserrat" w:hAnsi="Avenir Next" w:cs="Montserrat"/>
          <w:color w:val="000000"/>
          <w:sz w:val="20"/>
          <w:szCs w:val="20"/>
        </w:rPr>
        <w:t xml:space="preserve"> will communicate internationally how they are addressing and respecting the safeguards and, over time, is likely to be a product of the national SIS</w:t>
      </w:r>
      <w:r>
        <w:rPr>
          <w:rStyle w:val="FootnoteReference"/>
          <w:rFonts w:ascii="Avenir Next" w:eastAsia="Montserrat" w:hAnsi="Avenir Next" w:cs="Montserrat"/>
          <w:color w:val="000000"/>
          <w:sz w:val="20"/>
          <w:szCs w:val="20"/>
        </w:rPr>
        <w:footnoteReference w:id="3"/>
      </w:r>
      <w:r w:rsidRPr="00662E3F">
        <w:rPr>
          <w:rFonts w:ascii="Avenir Next" w:eastAsia="Montserrat" w:hAnsi="Avenir Next" w:cs="Montserrat"/>
          <w:color w:val="000000"/>
          <w:sz w:val="20"/>
          <w:szCs w:val="20"/>
        </w:rPr>
        <w:t>. In this regard, the SOI is intended to serve as a mechanism to report the actions related to at least three elements:</w:t>
      </w:r>
    </w:p>
    <w:p w14:paraId="740D784B" w14:textId="77777777" w:rsidR="00662E3F" w:rsidRPr="00662E3F" w:rsidRDefault="00662E3F" w:rsidP="00662E3F">
      <w:pPr>
        <w:pStyle w:val="ListParagraph"/>
        <w:numPr>
          <w:ilvl w:val="0"/>
          <w:numId w:val="11"/>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How safeguards have been adopted to the country context,</w:t>
      </w:r>
    </w:p>
    <w:p w14:paraId="2C567387" w14:textId="77777777" w:rsidR="00662E3F" w:rsidRPr="00662E3F" w:rsidRDefault="00662E3F" w:rsidP="00662E3F">
      <w:pPr>
        <w:pStyle w:val="ListParagraph"/>
        <w:numPr>
          <w:ilvl w:val="0"/>
          <w:numId w:val="11"/>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How safeguards have been addressed, and</w:t>
      </w:r>
    </w:p>
    <w:p w14:paraId="0660C641" w14:textId="795769BA" w:rsidR="00662E3F" w:rsidRPr="00662E3F" w:rsidRDefault="00662E3F" w:rsidP="00662E3F">
      <w:pPr>
        <w:pStyle w:val="ListParagraph"/>
        <w:numPr>
          <w:ilvl w:val="0"/>
          <w:numId w:val="11"/>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How safeguards have been respected.</w:t>
      </w:r>
    </w:p>
    <w:p w14:paraId="053248CD" w14:textId="52EE1B74"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lastRenderedPageBreak/>
        <w:t>The UNFCCC provides some guidance on the content of the SOI</w:t>
      </w:r>
      <w:r>
        <w:rPr>
          <w:rStyle w:val="FootnoteReference"/>
          <w:rFonts w:ascii="Avenir Next" w:eastAsia="Montserrat" w:hAnsi="Avenir Next" w:cs="Montserrat"/>
          <w:color w:val="000000"/>
          <w:sz w:val="20"/>
          <w:szCs w:val="20"/>
        </w:rPr>
        <w:footnoteReference w:id="4"/>
      </w:r>
      <w:r w:rsidRPr="00662E3F">
        <w:rPr>
          <w:rFonts w:ascii="Avenir Next" w:eastAsia="Montserrat" w:hAnsi="Avenir Next" w:cs="Montserrat"/>
          <w:color w:val="000000"/>
          <w:sz w:val="20"/>
          <w:szCs w:val="20"/>
        </w:rPr>
        <w:t>. The SOI should include the following elements, where appropriate:</w:t>
      </w:r>
    </w:p>
    <w:p w14:paraId="7177358A" w14:textId="77777777" w:rsidR="00662E3F" w:rsidRPr="00662E3F" w:rsidRDefault="00662E3F" w:rsidP="00662E3F">
      <w:pPr>
        <w:pStyle w:val="ListParagraph"/>
        <w:numPr>
          <w:ilvl w:val="0"/>
          <w:numId w:val="12"/>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Information on national circumstances relevant to addressing and respecting the </w:t>
      </w:r>
      <w:proofErr w:type="gramStart"/>
      <w:r w:rsidRPr="00662E3F">
        <w:rPr>
          <w:rFonts w:ascii="Avenir Next" w:eastAsia="Montserrat" w:hAnsi="Avenir Next" w:cs="Montserrat"/>
          <w:color w:val="000000"/>
          <w:sz w:val="20"/>
          <w:szCs w:val="20"/>
        </w:rPr>
        <w:t>safeguards;</w:t>
      </w:r>
      <w:proofErr w:type="gramEnd"/>
    </w:p>
    <w:p w14:paraId="30D867D8" w14:textId="77777777" w:rsidR="00662E3F" w:rsidRPr="00662E3F" w:rsidRDefault="00662E3F" w:rsidP="00662E3F">
      <w:pPr>
        <w:pStyle w:val="ListParagraph"/>
        <w:numPr>
          <w:ilvl w:val="0"/>
          <w:numId w:val="12"/>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A description of each safeguard in accordance with national </w:t>
      </w:r>
      <w:proofErr w:type="gramStart"/>
      <w:r w:rsidRPr="00662E3F">
        <w:rPr>
          <w:rFonts w:ascii="Avenir Next" w:eastAsia="Montserrat" w:hAnsi="Avenir Next" w:cs="Montserrat"/>
          <w:color w:val="000000"/>
          <w:sz w:val="20"/>
          <w:szCs w:val="20"/>
        </w:rPr>
        <w:t>circumstances;</w:t>
      </w:r>
      <w:proofErr w:type="gramEnd"/>
    </w:p>
    <w:p w14:paraId="4B7C56E7" w14:textId="77777777" w:rsidR="00662E3F" w:rsidRPr="00662E3F" w:rsidRDefault="00662E3F" w:rsidP="00662E3F">
      <w:pPr>
        <w:pStyle w:val="ListParagraph"/>
        <w:numPr>
          <w:ilvl w:val="0"/>
          <w:numId w:val="12"/>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A description of existing systems and processes relevant to addressing and respecting safeguards, including the information systems referred to in decision 12/CP.17, in accordance with national </w:t>
      </w:r>
      <w:proofErr w:type="gramStart"/>
      <w:r w:rsidRPr="00662E3F">
        <w:rPr>
          <w:rFonts w:ascii="Avenir Next" w:eastAsia="Montserrat" w:hAnsi="Avenir Next" w:cs="Montserrat"/>
          <w:color w:val="000000"/>
          <w:sz w:val="20"/>
          <w:szCs w:val="20"/>
        </w:rPr>
        <w:t>circumstances;</w:t>
      </w:r>
      <w:proofErr w:type="gramEnd"/>
    </w:p>
    <w:p w14:paraId="3E37D100" w14:textId="31E4F045" w:rsidR="00662E3F" w:rsidRPr="00662E3F" w:rsidRDefault="00662E3F" w:rsidP="00662E3F">
      <w:pPr>
        <w:pStyle w:val="ListParagraph"/>
        <w:numPr>
          <w:ilvl w:val="0"/>
          <w:numId w:val="12"/>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Information on how each of the safeguards has been addressed and respected, in accordance with national </w:t>
      </w:r>
      <w:proofErr w:type="gramStart"/>
      <w:r w:rsidRPr="00662E3F">
        <w:rPr>
          <w:rFonts w:ascii="Avenir Next" w:eastAsia="Montserrat" w:hAnsi="Avenir Next" w:cs="Montserrat"/>
          <w:color w:val="000000"/>
          <w:sz w:val="20"/>
          <w:szCs w:val="20"/>
        </w:rPr>
        <w:t>circumstances;</w:t>
      </w:r>
      <w:proofErr w:type="gramEnd"/>
      <w:r w:rsidRPr="00662E3F">
        <w:rPr>
          <w:rFonts w:ascii="Avenir Next" w:eastAsia="Montserrat" w:hAnsi="Avenir Next" w:cs="Montserrat"/>
          <w:color w:val="000000"/>
          <w:sz w:val="20"/>
          <w:szCs w:val="20"/>
        </w:rPr>
        <w:t xml:space="preserve"> </w:t>
      </w:r>
    </w:p>
    <w:p w14:paraId="56DA4482" w14:textId="36E257D7"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The UNFCCC also encourages to provide any other relevant information and to improve the information provided, </w:t>
      </w:r>
      <w:proofErr w:type="gramStart"/>
      <w:r w:rsidRPr="00662E3F">
        <w:rPr>
          <w:rFonts w:ascii="Avenir Next" w:eastAsia="Montserrat" w:hAnsi="Avenir Next" w:cs="Montserrat"/>
          <w:color w:val="000000"/>
          <w:sz w:val="20"/>
          <w:szCs w:val="20"/>
        </w:rPr>
        <w:t>taking into account</w:t>
      </w:r>
      <w:proofErr w:type="gramEnd"/>
      <w:r w:rsidRPr="00662E3F">
        <w:rPr>
          <w:rFonts w:ascii="Avenir Next" w:eastAsia="Montserrat" w:hAnsi="Avenir Next" w:cs="Montserrat"/>
          <w:color w:val="000000"/>
          <w:sz w:val="20"/>
          <w:szCs w:val="20"/>
        </w:rPr>
        <w:t xml:space="preserve"> the stepwise approach.</w:t>
      </w:r>
    </w:p>
    <w:p w14:paraId="53E8A3E2" w14:textId="5342E514"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The UNFCCC decision also specifies</w:t>
      </w:r>
      <w:r>
        <w:rPr>
          <w:rStyle w:val="FootnoteReference"/>
          <w:rFonts w:ascii="Avenir Next" w:eastAsia="Montserrat" w:hAnsi="Avenir Next" w:cs="Montserrat"/>
          <w:color w:val="000000"/>
          <w:sz w:val="20"/>
          <w:szCs w:val="20"/>
        </w:rPr>
        <w:footnoteReference w:id="5"/>
      </w:r>
      <w:r>
        <w:rPr>
          <w:rFonts w:ascii="Avenir Next" w:eastAsia="Montserrat" w:hAnsi="Avenir Next" w:cs="Montserrat"/>
          <w:color w:val="000000"/>
          <w:sz w:val="20"/>
          <w:szCs w:val="20"/>
        </w:rPr>
        <w:t xml:space="preserve"> </w:t>
      </w:r>
      <w:r w:rsidRPr="00662E3F">
        <w:rPr>
          <w:rFonts w:ascii="Avenir Next" w:eastAsia="Montserrat" w:hAnsi="Avenir Next" w:cs="Montserrat"/>
          <w:color w:val="000000"/>
          <w:sz w:val="20"/>
          <w:szCs w:val="20"/>
        </w:rPr>
        <w:t xml:space="preserve">that the SOI should be provided after the beginning of implementation of REDD+ activities with the national communications, or on a voluntary basis including via the Web Platform of the UNFCCC, or any other means agreed by the COP. </w:t>
      </w:r>
    </w:p>
    <w:p w14:paraId="38ECD8CC" w14:textId="5478C389"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In alignment with UNFCCC guidance, the international best practices</w:t>
      </w:r>
      <w:r>
        <w:rPr>
          <w:rStyle w:val="FootnoteReference"/>
          <w:rFonts w:ascii="Avenir Next" w:eastAsia="Montserrat" w:hAnsi="Avenir Next" w:cs="Montserrat"/>
          <w:color w:val="000000"/>
          <w:sz w:val="20"/>
          <w:szCs w:val="20"/>
        </w:rPr>
        <w:footnoteReference w:id="6"/>
      </w:r>
      <w:r>
        <w:rPr>
          <w:rStyle w:val="FootnoteReference"/>
          <w:rFonts w:ascii="Avenir Next" w:eastAsia="Montserrat" w:hAnsi="Avenir Next" w:cs="Montserrat"/>
          <w:color w:val="000000"/>
          <w:sz w:val="20"/>
          <w:szCs w:val="20"/>
        </w:rPr>
        <w:footnoteReference w:id="7"/>
      </w:r>
      <w:r w:rsidRPr="00662E3F">
        <w:rPr>
          <w:rFonts w:ascii="Avenir Next" w:eastAsia="Montserrat" w:hAnsi="Avenir Next" w:cs="Montserrat"/>
          <w:color w:val="000000"/>
          <w:sz w:val="20"/>
          <w:szCs w:val="20"/>
        </w:rPr>
        <w:t>,  over the content and structure of the SOI consider the following components:</w:t>
      </w:r>
    </w:p>
    <w:p w14:paraId="5CA9DFCB" w14:textId="77777777" w:rsidR="00662E3F" w:rsidRPr="00662E3F" w:rsidRDefault="00662E3F" w:rsidP="00662E3F">
      <w:pPr>
        <w:pStyle w:val="ListParagraph"/>
        <w:numPr>
          <w:ilvl w:val="0"/>
          <w:numId w:val="13"/>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b/>
          <w:bCs/>
          <w:color w:val="000000"/>
          <w:sz w:val="20"/>
          <w:szCs w:val="20"/>
        </w:rPr>
        <w:t>Introduction</w:t>
      </w:r>
      <w:r w:rsidRPr="00662E3F">
        <w:rPr>
          <w:rFonts w:ascii="Avenir Next" w:eastAsia="Montserrat" w:hAnsi="Avenir Next" w:cs="Montserrat"/>
          <w:color w:val="000000"/>
          <w:sz w:val="20"/>
          <w:szCs w:val="20"/>
        </w:rPr>
        <w:t>: this section can set out the scope of the report, including the applicable safeguards commitments that inform the formulation and dissemination of this report, the specific objectives of this report, and it associated reporting period.</w:t>
      </w:r>
    </w:p>
    <w:p w14:paraId="51EBF349" w14:textId="77777777" w:rsidR="00662E3F" w:rsidRPr="00662E3F" w:rsidRDefault="00662E3F" w:rsidP="00662E3F">
      <w:pPr>
        <w:pStyle w:val="ListParagraph"/>
        <w:numPr>
          <w:ilvl w:val="0"/>
          <w:numId w:val="13"/>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b/>
          <w:bCs/>
          <w:color w:val="000000"/>
          <w:sz w:val="20"/>
          <w:szCs w:val="20"/>
        </w:rPr>
        <w:t>National context and REDD+ overview:</w:t>
      </w:r>
      <w:r w:rsidRPr="00662E3F">
        <w:rPr>
          <w:rFonts w:ascii="Avenir Next" w:eastAsia="Montserrat" w:hAnsi="Avenir Next" w:cs="Montserrat"/>
          <w:color w:val="000000"/>
          <w:sz w:val="20"/>
          <w:szCs w:val="20"/>
        </w:rPr>
        <w:t xml:space="preserve">  this section can provide a clear overview of the scope, scale and stage of design and implementation of the of the REDD+ actions that are subject to this period of reporting.</w:t>
      </w:r>
    </w:p>
    <w:p w14:paraId="383849FD" w14:textId="77777777" w:rsidR="00662E3F" w:rsidRPr="00662E3F" w:rsidRDefault="00662E3F" w:rsidP="00662E3F">
      <w:pPr>
        <w:pStyle w:val="ListParagraph"/>
        <w:numPr>
          <w:ilvl w:val="0"/>
          <w:numId w:val="13"/>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b/>
          <w:bCs/>
          <w:color w:val="000000"/>
          <w:sz w:val="20"/>
          <w:szCs w:val="20"/>
        </w:rPr>
        <w:t>Description of each safeguard:</w:t>
      </w:r>
      <w:r w:rsidRPr="00662E3F">
        <w:rPr>
          <w:rFonts w:ascii="Avenir Next" w:eastAsia="Montserrat" w:hAnsi="Avenir Next" w:cs="Montserrat"/>
          <w:color w:val="000000"/>
          <w:sz w:val="20"/>
          <w:szCs w:val="20"/>
        </w:rPr>
        <w:t xml:space="preserve"> this section can explain how each of the UNFCCC REDD+ safeguards is understood by the country, according to the country’s context and specific circumstances. </w:t>
      </w:r>
      <w:proofErr w:type="gramStart"/>
      <w:r w:rsidRPr="00662E3F">
        <w:rPr>
          <w:rFonts w:ascii="Avenir Next" w:eastAsia="Montserrat" w:hAnsi="Avenir Next" w:cs="Montserrat"/>
          <w:color w:val="000000"/>
          <w:sz w:val="20"/>
          <w:szCs w:val="20"/>
        </w:rPr>
        <w:t>A large number of</w:t>
      </w:r>
      <w:proofErr w:type="gramEnd"/>
      <w:r w:rsidRPr="00662E3F">
        <w:rPr>
          <w:rFonts w:ascii="Avenir Next" w:eastAsia="Montserrat" w:hAnsi="Avenir Next" w:cs="Montserrat"/>
          <w:color w:val="000000"/>
          <w:sz w:val="20"/>
          <w:szCs w:val="20"/>
        </w:rPr>
        <w:t xml:space="preserve"> countries have developed their description as part of their approach to safeguards. The description of safeguards can be presented as a narrative text with several elements; or a set of principles and criteria defined for each safeguard. This section may be included in the first SOI, and in subsequent SOI if subject to any updates.</w:t>
      </w:r>
    </w:p>
    <w:p w14:paraId="0745495A" w14:textId="77777777" w:rsidR="00662E3F" w:rsidRPr="00662E3F" w:rsidRDefault="00662E3F" w:rsidP="00662E3F">
      <w:pPr>
        <w:pStyle w:val="ListParagraph"/>
        <w:numPr>
          <w:ilvl w:val="0"/>
          <w:numId w:val="13"/>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b/>
          <w:bCs/>
          <w:color w:val="000000"/>
          <w:sz w:val="20"/>
          <w:szCs w:val="20"/>
        </w:rPr>
        <w:lastRenderedPageBreak/>
        <w:t>Conformance with REDD+ safeguards:</w:t>
      </w:r>
      <w:r w:rsidRPr="00662E3F">
        <w:rPr>
          <w:rFonts w:ascii="Avenir Next" w:eastAsia="Montserrat" w:hAnsi="Avenir Next" w:cs="Montserrat"/>
          <w:color w:val="000000"/>
          <w:sz w:val="20"/>
          <w:szCs w:val="20"/>
        </w:rPr>
        <w:t xml:space="preserve"> this section can provide information over how the seven safeguards are being addressed and respected throughout the implementation of the REDD+ actions, for each specific results period. Generally, this section would include information about the jurisdictions’ governance arrangements in place to guarantee the application of the safeguards, and what are the associated outcomes (e.g. how the REDD+ safeguards have been respected when implementing REDD+ actions). This section may also identify challenges (if any) in ensuring conformance with the safeguards throughout the implementation of the REDD+ </w:t>
      </w:r>
      <w:proofErr w:type="gramStart"/>
      <w:r w:rsidRPr="00662E3F">
        <w:rPr>
          <w:rFonts w:ascii="Avenir Next" w:eastAsia="Montserrat" w:hAnsi="Avenir Next" w:cs="Montserrat"/>
          <w:color w:val="000000"/>
          <w:sz w:val="20"/>
          <w:szCs w:val="20"/>
        </w:rPr>
        <w:t>actions, and</w:t>
      </w:r>
      <w:proofErr w:type="gramEnd"/>
      <w:r w:rsidRPr="00662E3F">
        <w:rPr>
          <w:rFonts w:ascii="Avenir Next" w:eastAsia="Montserrat" w:hAnsi="Avenir Next" w:cs="Montserrat"/>
          <w:color w:val="000000"/>
          <w:sz w:val="20"/>
          <w:szCs w:val="20"/>
        </w:rPr>
        <w:t xml:space="preserve"> identify potential measures for improvement.</w:t>
      </w:r>
    </w:p>
    <w:p w14:paraId="111BA1BC" w14:textId="5C70C59C" w:rsidR="00662E3F" w:rsidRPr="00662E3F" w:rsidRDefault="00662E3F" w:rsidP="00662E3F">
      <w:pPr>
        <w:pStyle w:val="ListParagraph"/>
        <w:numPr>
          <w:ilvl w:val="0"/>
          <w:numId w:val="13"/>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b/>
          <w:bCs/>
          <w:color w:val="000000"/>
          <w:sz w:val="20"/>
          <w:szCs w:val="20"/>
        </w:rPr>
        <w:t>Stakeholder engagement:</w:t>
      </w:r>
      <w:r w:rsidRPr="00662E3F">
        <w:rPr>
          <w:rFonts w:ascii="Avenir Next" w:eastAsia="Montserrat" w:hAnsi="Avenir Next" w:cs="Montserrat"/>
          <w:color w:val="000000"/>
          <w:sz w:val="20"/>
          <w:szCs w:val="20"/>
        </w:rPr>
        <w:t xml:space="preserve"> this section can include information related to the stakeholder engagement process for the preparation of this report, </w:t>
      </w:r>
      <w:r w:rsidR="00156C55">
        <w:rPr>
          <w:rFonts w:ascii="Avenir Next" w:eastAsia="Montserrat" w:hAnsi="Avenir Next" w:cs="Montserrat"/>
          <w:color w:val="000000"/>
          <w:sz w:val="20"/>
          <w:szCs w:val="20"/>
        </w:rPr>
        <w:t xml:space="preserve">and </w:t>
      </w:r>
      <w:r w:rsidRPr="00662E3F">
        <w:rPr>
          <w:rFonts w:ascii="Avenir Next" w:eastAsia="Montserrat" w:hAnsi="Avenir Next" w:cs="Montserrat"/>
          <w:color w:val="000000"/>
          <w:sz w:val="20"/>
          <w:szCs w:val="20"/>
        </w:rPr>
        <w:t xml:space="preserve">how their inputs were integrated into this report. </w:t>
      </w:r>
    </w:p>
    <w:p w14:paraId="1EFEE220" w14:textId="77777777" w:rsidR="00662E3F" w:rsidRPr="00662E3F" w:rsidRDefault="00662E3F" w:rsidP="00662E3F">
      <w:p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This tool is therefore intended to help J-REDD+ programs better understand:</w:t>
      </w:r>
    </w:p>
    <w:p w14:paraId="1FEF1DA1" w14:textId="77777777" w:rsidR="00662E3F" w:rsidRPr="00662E3F" w:rsidRDefault="00662E3F" w:rsidP="00662E3F">
      <w:pPr>
        <w:pStyle w:val="ListParagraph"/>
        <w:numPr>
          <w:ilvl w:val="0"/>
          <w:numId w:val="14"/>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 xml:space="preserve">The level of alignment of their summary of information in correlation with the UNFCCC’s guidance and international best practices.  </w:t>
      </w:r>
    </w:p>
    <w:p w14:paraId="4E6BCB58" w14:textId="33507DEF" w:rsidR="00662E3F" w:rsidRPr="00662E3F" w:rsidRDefault="00662E3F" w:rsidP="00662E3F">
      <w:pPr>
        <w:pStyle w:val="ListParagraph"/>
        <w:numPr>
          <w:ilvl w:val="0"/>
          <w:numId w:val="14"/>
        </w:numPr>
        <w:spacing w:before="120" w:after="120" w:line="336" w:lineRule="auto"/>
        <w:rPr>
          <w:rFonts w:ascii="Avenir Next" w:eastAsia="Montserrat" w:hAnsi="Avenir Next" w:cs="Montserrat"/>
          <w:color w:val="000000"/>
          <w:sz w:val="20"/>
          <w:szCs w:val="20"/>
        </w:rPr>
      </w:pPr>
      <w:r w:rsidRPr="00662E3F">
        <w:rPr>
          <w:rFonts w:ascii="Avenir Next" w:eastAsia="Montserrat" w:hAnsi="Avenir Next" w:cs="Montserrat"/>
          <w:color w:val="000000"/>
          <w:sz w:val="20"/>
          <w:szCs w:val="20"/>
        </w:rPr>
        <w:t>Identify any gaps, weaknesses and/or possible inconsistencies in these arrangements, and identify recommendations to address these.</w:t>
      </w:r>
    </w:p>
    <w:p w14:paraId="67CEE595" w14:textId="77777777" w:rsidR="000A62EE" w:rsidRPr="00662E3F" w:rsidRDefault="00000000">
      <w:pPr>
        <w:spacing w:before="120" w:after="120" w:line="336" w:lineRule="auto"/>
        <w:rPr>
          <w:rFonts w:ascii="Bodoni 72 Book" w:hAnsi="Bodoni 72 Book"/>
        </w:rPr>
      </w:pPr>
      <w:r w:rsidRPr="00662E3F">
        <w:rPr>
          <w:rFonts w:ascii="Bodoni 72 Book" w:eastAsia="Prata" w:hAnsi="Bodoni 72 Book" w:cs="Prata"/>
          <w:color w:val="897C75"/>
          <w:sz w:val="64"/>
          <w:szCs w:val="64"/>
        </w:rPr>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0A62EE" w14:paraId="656514D7" w14:textId="77777777">
        <w:tc>
          <w:tcPr>
            <w:tcW w:w="9030" w:type="dxa"/>
            <w:shd w:val="clear" w:color="auto" w:fill="DECABE"/>
            <w:tcMar>
              <w:top w:w="180" w:type="dxa"/>
              <w:left w:w="180" w:type="dxa"/>
              <w:bottom w:w="180" w:type="dxa"/>
              <w:right w:w="180" w:type="dxa"/>
            </w:tcMar>
          </w:tcPr>
          <w:p w14:paraId="570B9149" w14:textId="77777777" w:rsidR="00662E3F" w:rsidRDefault="00000000" w:rsidP="00662E3F">
            <w:pPr>
              <w:spacing w:before="120" w:after="120" w:line="336" w:lineRule="auto"/>
              <w:rPr>
                <w:rFonts w:ascii="Avenir Next" w:eastAsia="IBM Plex Sans" w:hAnsi="Avenir Next" w:cs="IBM Plex Sans"/>
                <w:color w:val="000000" w:themeColor="text1"/>
                <w:sz w:val="20"/>
                <w:szCs w:val="20"/>
              </w:rPr>
            </w:pPr>
            <w:r w:rsidRPr="00662E3F">
              <w:rPr>
                <w:rFonts w:ascii="Avenir Next" w:eastAsia="IBM Plex Sans" w:hAnsi="Avenir Next" w:cs="IBM Plex Sans"/>
                <w:color w:val="000000" w:themeColor="text1"/>
                <w:sz w:val="20"/>
                <w:szCs w:val="20"/>
              </w:rPr>
              <w:t xml:space="preserve">This tool is divided into two sections: </w:t>
            </w:r>
          </w:p>
          <w:p w14:paraId="68F81496" w14:textId="77777777" w:rsidR="00662E3F" w:rsidRPr="00662E3F" w:rsidRDefault="00000000" w:rsidP="00662E3F">
            <w:pPr>
              <w:pStyle w:val="ListParagraph"/>
              <w:numPr>
                <w:ilvl w:val="0"/>
                <w:numId w:val="15"/>
              </w:numPr>
              <w:spacing w:before="120" w:after="120" w:line="336" w:lineRule="auto"/>
              <w:rPr>
                <w:rFonts w:ascii="Avenir Next" w:hAnsi="Avenir Next"/>
                <w:color w:val="000000" w:themeColor="text1"/>
                <w:sz w:val="20"/>
                <w:szCs w:val="20"/>
              </w:rPr>
            </w:pPr>
            <w:r w:rsidRPr="00662E3F">
              <w:rPr>
                <w:rFonts w:ascii="Avenir Next" w:eastAsia="IBM Plex Sans Bold" w:hAnsi="Avenir Next" w:cs="IBM Plex Sans Bold"/>
                <w:b/>
                <w:bCs/>
                <w:color w:val="000000" w:themeColor="text1"/>
                <w:sz w:val="20"/>
                <w:szCs w:val="20"/>
              </w:rPr>
              <w:t>Section A:</w:t>
            </w:r>
            <w:r w:rsidRPr="00662E3F">
              <w:rPr>
                <w:rFonts w:ascii="Avenir Next" w:eastAsia="IBM Plex Sans" w:hAnsi="Avenir Next" w:cs="IBM Plex Sans"/>
                <w:color w:val="000000" w:themeColor="text1"/>
                <w:sz w:val="20"/>
                <w:szCs w:val="20"/>
              </w:rPr>
              <w:t xml:space="preserve"> presents a questionnaire, which guides users through the technical qualitative assessment of the</w:t>
            </w:r>
            <w:r w:rsidR="00662E3F" w:rsidRPr="00662E3F">
              <w:rPr>
                <w:rFonts w:ascii="Avenir Next" w:eastAsia="IBM Plex Sans" w:hAnsi="Avenir Next" w:cs="IBM Plex Sans"/>
                <w:color w:val="000000" w:themeColor="text1"/>
                <w:sz w:val="20"/>
                <w:szCs w:val="20"/>
              </w:rPr>
              <w:t xml:space="preserve"> SOI.</w:t>
            </w:r>
          </w:p>
          <w:p w14:paraId="3FE593D4" w14:textId="71CD385C" w:rsidR="000A62EE" w:rsidRPr="00662E3F" w:rsidRDefault="00000000" w:rsidP="00662E3F">
            <w:pPr>
              <w:pStyle w:val="ListParagraph"/>
              <w:numPr>
                <w:ilvl w:val="0"/>
                <w:numId w:val="15"/>
              </w:numPr>
              <w:spacing w:before="120" w:after="120" w:line="336" w:lineRule="auto"/>
              <w:rPr>
                <w:rFonts w:ascii="Avenir Next" w:hAnsi="Avenir Next"/>
                <w:color w:val="000000" w:themeColor="text1"/>
                <w:sz w:val="20"/>
                <w:szCs w:val="20"/>
              </w:rPr>
            </w:pPr>
            <w:r w:rsidRPr="00662E3F">
              <w:rPr>
                <w:rFonts w:ascii="Avenir Next" w:eastAsia="IBM Plex Sans Bold" w:hAnsi="Avenir Next" w:cs="IBM Plex Sans Bold"/>
                <w:b/>
                <w:bCs/>
                <w:color w:val="000000" w:themeColor="text1"/>
                <w:sz w:val="20"/>
                <w:szCs w:val="20"/>
              </w:rPr>
              <w:t>Section B</w:t>
            </w:r>
            <w:r w:rsidRPr="00662E3F">
              <w:rPr>
                <w:rFonts w:ascii="Avenir Next" w:eastAsia="IBM Plex Sans" w:hAnsi="Avenir Next" w:cs="IBM Plex Sans"/>
                <w:color w:val="000000" w:themeColor="text1"/>
                <w:sz w:val="20"/>
                <w:szCs w:val="20"/>
              </w:rPr>
              <w:t>: presents a report template, that is to be completed based on the results from Section ‘A</w:t>
            </w:r>
            <w:proofErr w:type="gramStart"/>
            <w:r w:rsidRPr="00662E3F">
              <w:rPr>
                <w:rFonts w:ascii="Avenir Next" w:eastAsia="IBM Plex Sans" w:hAnsi="Avenir Next" w:cs="IBM Plex Sans"/>
                <w:color w:val="000000" w:themeColor="text1"/>
                <w:sz w:val="20"/>
                <w:szCs w:val="20"/>
              </w:rPr>
              <w:t>’, and</w:t>
            </w:r>
            <w:proofErr w:type="gramEnd"/>
            <w:r w:rsidRPr="00662E3F">
              <w:rPr>
                <w:rFonts w:ascii="Avenir Next" w:eastAsia="IBM Plex Sans" w:hAnsi="Avenir Next" w:cs="IBM Plex Sans"/>
                <w:color w:val="000000" w:themeColor="text1"/>
                <w:sz w:val="20"/>
                <w:szCs w:val="20"/>
              </w:rPr>
              <w:t xml:space="preserve"> will inform the development of</w:t>
            </w:r>
            <w:r w:rsidR="00662E3F" w:rsidRPr="00662E3F">
              <w:rPr>
                <w:rFonts w:ascii="Avenir Next" w:eastAsia="IBM Plex Sans" w:hAnsi="Avenir Next" w:cs="IBM Plex Sans"/>
                <w:color w:val="000000" w:themeColor="text1"/>
                <w:sz w:val="20"/>
                <w:szCs w:val="20"/>
              </w:rPr>
              <w:t xml:space="preserve"> </w:t>
            </w:r>
            <w:r w:rsidRPr="00662E3F">
              <w:rPr>
                <w:rFonts w:ascii="Avenir Next" w:eastAsia="IBM Plex Sans" w:hAnsi="Avenir Next" w:cs="IBM Plex Sans"/>
                <w:color w:val="000000" w:themeColor="text1"/>
                <w:sz w:val="20"/>
                <w:szCs w:val="20"/>
              </w:rPr>
              <w:t>the J-REDD+ roadmap (Tool 8).</w:t>
            </w:r>
            <w:r w:rsidRPr="00662E3F">
              <w:rPr>
                <w:rFonts w:ascii="IBM Plex Sans" w:eastAsia="IBM Plex Sans" w:hAnsi="IBM Plex Sans" w:cs="IBM Plex Sans"/>
                <w:color w:val="FFFFFF"/>
                <w:sz w:val="22"/>
                <w:szCs w:val="22"/>
              </w:rPr>
              <w:t xml:space="preserve"> </w:t>
            </w:r>
          </w:p>
        </w:tc>
      </w:tr>
    </w:tbl>
    <w:p w14:paraId="35D366F4" w14:textId="77777777" w:rsidR="00662E3F" w:rsidRDefault="00662E3F">
      <w:pPr>
        <w:spacing w:before="120" w:after="120" w:line="336" w:lineRule="auto"/>
        <w:rPr>
          <w:rFonts w:ascii="Montserrat" w:eastAsia="Montserrat" w:hAnsi="Montserrat" w:cs="Montserrat"/>
          <w:color w:val="000000"/>
          <w:sz w:val="64"/>
          <w:szCs w:val="64"/>
        </w:rPr>
      </w:pPr>
    </w:p>
    <w:p w14:paraId="3D07472C" w14:textId="77777777" w:rsidR="00662E3F" w:rsidRDefault="00662E3F">
      <w:pPr>
        <w:spacing w:before="120" w:after="120" w:line="336" w:lineRule="auto"/>
        <w:rPr>
          <w:rFonts w:ascii="Montserrat" w:eastAsia="Montserrat" w:hAnsi="Montserrat" w:cs="Montserrat"/>
          <w:color w:val="000000"/>
          <w:sz w:val="64"/>
          <w:szCs w:val="64"/>
        </w:rPr>
      </w:pPr>
    </w:p>
    <w:p w14:paraId="45460ABD" w14:textId="77777777" w:rsidR="00662E3F" w:rsidRPr="00662E3F" w:rsidRDefault="00662E3F" w:rsidP="00662E3F">
      <w:pPr>
        <w:spacing w:before="120" w:after="120" w:line="336" w:lineRule="auto"/>
        <w:rPr>
          <w:rFonts w:ascii="Bodoni 72 Book" w:hAnsi="Bodoni 72 Book"/>
          <w:color w:val="897B75"/>
        </w:rPr>
      </w:pPr>
      <w:r w:rsidRPr="00662E3F">
        <w:rPr>
          <w:rFonts w:ascii="Bodoni 72 Book" w:eastAsia="Montserrat" w:hAnsi="Bodoni 72 Book" w:cs="Montserrat"/>
          <w:color w:val="897B75"/>
          <w:sz w:val="64"/>
          <w:szCs w:val="64"/>
        </w:rPr>
        <w:lastRenderedPageBreak/>
        <w:t xml:space="preserve">Section A - Questionnaire </w:t>
      </w:r>
    </w:p>
    <w:p w14:paraId="2B16C0CA" w14:textId="0E4A6FAF" w:rsidR="00662E3F" w:rsidRPr="00031D7C" w:rsidRDefault="00662E3F" w:rsidP="00662E3F">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The questionnaire is structured in different </w:t>
      </w:r>
      <w:r>
        <w:rPr>
          <w:rFonts w:ascii="Avenir Next" w:eastAsia="IBM Plex Sans" w:hAnsi="Avenir Next" w:cs="IBM Plex Sans"/>
          <w:color w:val="000000"/>
          <w:sz w:val="20"/>
          <w:szCs w:val="20"/>
        </w:rPr>
        <w:t>categories</w:t>
      </w:r>
      <w:r w:rsidRPr="00031D7C">
        <w:rPr>
          <w:rFonts w:ascii="Avenir Next" w:eastAsia="IBM Plex Sans" w:hAnsi="Avenir Next" w:cs="IBM Plex Sans"/>
          <w:color w:val="000000"/>
          <w:sz w:val="20"/>
          <w:szCs w:val="20"/>
        </w:rPr>
        <w:t xml:space="preserve">, which correlate with UNFCCC guidance and international best practices. </w:t>
      </w:r>
    </w:p>
    <w:p w14:paraId="22EECDD7" w14:textId="77777777" w:rsidR="00662E3F" w:rsidRPr="00031D7C" w:rsidRDefault="00662E3F" w:rsidP="00662E3F">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3E5B7D62" w14:textId="2D7B0EDB" w:rsidR="00662E3F" w:rsidRPr="00031D7C" w:rsidRDefault="00662E3F" w:rsidP="00662E3F">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Note that use of </w:t>
      </w:r>
      <w:r w:rsidR="00156C55">
        <w:rPr>
          <w:rFonts w:ascii="Avenir Next" w:eastAsia="IBM Plex Sans" w:hAnsi="Avenir Next" w:cs="IBM Plex Sans"/>
          <w:color w:val="000000"/>
          <w:sz w:val="20"/>
          <w:szCs w:val="20"/>
        </w:rPr>
        <w:t xml:space="preserve">the </w:t>
      </w:r>
      <w:r w:rsidRPr="00031D7C">
        <w:rPr>
          <w:rFonts w:ascii="Avenir Next" w:eastAsia="IBM Plex Sans" w:hAnsi="Avenir Next" w:cs="IBM Plex Sans"/>
          <w:color w:val="000000"/>
          <w:sz w:val="20"/>
          <w:szCs w:val="20"/>
        </w:rPr>
        <w:t xml:space="preserve">term ‘equivalent’ refers to a sub-national ‘reporting system’. </w:t>
      </w:r>
    </w:p>
    <w:p w14:paraId="56E5EEFE" w14:textId="77777777" w:rsidR="00662E3F" w:rsidRPr="00031D7C" w:rsidRDefault="00662E3F" w:rsidP="00662E3F">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4E0E70AC" w14:textId="664C99A3" w:rsidR="00662E3F" w:rsidRPr="00031D7C" w:rsidRDefault="00662E3F" w:rsidP="00662E3F">
      <w:pPr>
        <w:numPr>
          <w:ilvl w:val="1"/>
          <w:numId w:val="16"/>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603DFE2D" wp14:editId="454CDD36">
            <wp:simplePos x="0" y="0"/>
            <wp:positionH relativeFrom="column">
              <wp:posOffset>4881208</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SOI</w:t>
      </w:r>
      <w:r w:rsidRPr="00031D7C">
        <w:rPr>
          <w:rFonts w:ascii="Avenir Next" w:eastAsia="IBM Plex Sans" w:hAnsi="Avenir Next" w:cs="IBM Plex Sans"/>
          <w:color w:val="000000"/>
          <w:sz w:val="20"/>
          <w:szCs w:val="20"/>
        </w:rPr>
        <w:t xml:space="preserve"> incorporates this aspect in conformance with relevant guidance and/or best practices.  </w:t>
      </w:r>
    </w:p>
    <w:p w14:paraId="1B054DA1" w14:textId="6723F3E0" w:rsidR="00662E3F" w:rsidRPr="00031D7C" w:rsidRDefault="00662E3F" w:rsidP="00662E3F">
      <w:pPr>
        <w:numPr>
          <w:ilvl w:val="1"/>
          <w:numId w:val="16"/>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 xml:space="preserve">SOI </w:t>
      </w:r>
      <w:r w:rsidRPr="00031D7C">
        <w:rPr>
          <w:rFonts w:ascii="Avenir Next" w:eastAsia="IBM Plex Sans" w:hAnsi="Avenir Next" w:cs="IBM Plex Sans"/>
          <w:color w:val="000000"/>
          <w:sz w:val="20"/>
          <w:szCs w:val="20"/>
        </w:rPr>
        <w:t xml:space="preserve">partially incorporates this aspect in conformance with relevant guidance and/or best practices. There are some gaps that need to be addressed.  </w:t>
      </w:r>
    </w:p>
    <w:p w14:paraId="357FD67B" w14:textId="2108BC13" w:rsidR="00662E3F" w:rsidRPr="00031D7C" w:rsidRDefault="00662E3F" w:rsidP="00662E3F">
      <w:pPr>
        <w:numPr>
          <w:ilvl w:val="1"/>
          <w:numId w:val="16"/>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30CF4ACB" wp14:editId="0A69C28F">
            <wp:simplePos x="0" y="0"/>
            <wp:positionH relativeFrom="column">
              <wp:posOffset>5109883</wp:posOffset>
            </wp:positionH>
            <wp:positionV relativeFrom="paragraph">
              <wp:posOffset>169172</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SOI</w:t>
      </w:r>
      <w:r w:rsidRPr="00031D7C">
        <w:rPr>
          <w:rFonts w:ascii="Avenir Next" w:eastAsia="IBM Plex Sans" w:hAnsi="Avenir Next" w:cs="IBM Plex Sans"/>
          <w:color w:val="000000"/>
          <w:sz w:val="20"/>
          <w:szCs w:val="20"/>
        </w:rPr>
        <w:t xml:space="preserve"> does not incorporate this aspect in conformance with relevant guidance and/or best practices, and there are notable gaps that need to be addressed to ensure full conformance.  </w:t>
      </w:r>
    </w:p>
    <w:p w14:paraId="045400FB" w14:textId="51DC45AC" w:rsidR="00662E3F" w:rsidRPr="00031D7C" w:rsidRDefault="00662E3F" w:rsidP="00662E3F">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156C55">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156C55">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25B65DEC" w14:textId="77777777" w:rsidR="00662E3F" w:rsidRPr="00C878E5" w:rsidRDefault="00662E3F" w:rsidP="00662E3F">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591FDB7F" w14:textId="77777777" w:rsidR="00662E3F" w:rsidRDefault="00662E3F">
      <w:pPr>
        <w:spacing w:before="120" w:after="120" w:line="336" w:lineRule="auto"/>
        <w:rPr>
          <w:rFonts w:ascii="IBM Plex Sans" w:eastAsia="IBM Plex Sans" w:hAnsi="IBM Plex Sans" w:cs="IBM Plex Sans"/>
          <w:color w:val="000000"/>
        </w:rPr>
      </w:pPr>
    </w:p>
    <w:p w14:paraId="15CAADE4" w14:textId="77777777" w:rsidR="00662E3F" w:rsidRDefault="00662E3F">
      <w:pPr>
        <w:spacing w:before="120" w:after="120" w:line="336" w:lineRule="auto"/>
        <w:rPr>
          <w:rFonts w:ascii="IBM Plex Sans" w:eastAsia="IBM Plex Sans" w:hAnsi="IBM Plex Sans" w:cs="IBM Plex Sans"/>
          <w:color w:val="000000"/>
        </w:rPr>
      </w:pPr>
    </w:p>
    <w:p w14:paraId="41F6711C" w14:textId="77777777" w:rsidR="00662E3F" w:rsidRDefault="00662E3F">
      <w:pPr>
        <w:spacing w:before="120" w:after="120" w:line="336" w:lineRule="auto"/>
        <w:rPr>
          <w:rFonts w:ascii="IBM Plex Sans" w:eastAsia="IBM Plex Sans" w:hAnsi="IBM Plex Sans" w:cs="IBM Plex Sans"/>
          <w:color w:val="000000"/>
        </w:rPr>
      </w:pPr>
    </w:p>
    <w:p w14:paraId="038D92C8" w14:textId="77777777" w:rsidR="00662E3F" w:rsidRDefault="00662E3F">
      <w:pPr>
        <w:spacing w:before="120" w:after="120" w:line="336" w:lineRule="auto"/>
        <w:rPr>
          <w:rFonts w:ascii="IBM Plex Sans" w:eastAsia="IBM Plex Sans" w:hAnsi="IBM Plex Sans" w:cs="IBM Plex Sans"/>
          <w:color w:val="000000"/>
        </w:rPr>
      </w:pPr>
    </w:p>
    <w:p w14:paraId="0D1FFB9D" w14:textId="77777777" w:rsidR="00662E3F" w:rsidRDefault="00662E3F">
      <w:pPr>
        <w:spacing w:before="120" w:after="120" w:line="336" w:lineRule="auto"/>
        <w:rPr>
          <w:rFonts w:ascii="IBM Plex Sans" w:eastAsia="IBM Plex Sans" w:hAnsi="IBM Plex Sans" w:cs="IBM Plex Sans"/>
          <w:color w:val="000000"/>
        </w:rPr>
      </w:pPr>
    </w:p>
    <w:p w14:paraId="7C1A5C53" w14:textId="77777777" w:rsidR="00662E3F" w:rsidRDefault="00662E3F">
      <w:pPr>
        <w:spacing w:before="120" w:after="120" w:line="336" w:lineRule="auto"/>
        <w:rPr>
          <w:rFonts w:ascii="IBM Plex Sans" w:eastAsia="IBM Plex Sans" w:hAnsi="IBM Plex Sans" w:cs="IBM Plex Sans"/>
          <w:color w:val="000000"/>
        </w:rPr>
      </w:pPr>
    </w:p>
    <w:p w14:paraId="43D5C965" w14:textId="77777777" w:rsidR="00662E3F" w:rsidRDefault="00662E3F">
      <w:pPr>
        <w:spacing w:before="120" w:after="120" w:line="336" w:lineRule="auto"/>
        <w:rPr>
          <w:rFonts w:ascii="IBM Plex Sans" w:eastAsia="IBM Plex Sans" w:hAnsi="IBM Plex Sans" w:cs="IBM Plex Sans"/>
          <w:color w:val="000000"/>
        </w:rPr>
      </w:pPr>
    </w:p>
    <w:p w14:paraId="2C04A3CB" w14:textId="77777777" w:rsidR="00662E3F" w:rsidRDefault="00662E3F">
      <w:pPr>
        <w:spacing w:before="120" w:after="120" w:line="336" w:lineRule="auto"/>
        <w:rPr>
          <w:rFonts w:ascii="IBM Plex Sans" w:eastAsia="IBM Plex Sans" w:hAnsi="IBM Plex Sans" w:cs="IBM Plex Sans"/>
          <w:color w:val="000000"/>
        </w:rPr>
      </w:pPr>
    </w:p>
    <w:p w14:paraId="5198644D" w14:textId="77777777" w:rsidR="00662E3F" w:rsidRDefault="00662E3F">
      <w:pPr>
        <w:spacing w:before="120" w:after="120" w:line="336" w:lineRule="auto"/>
        <w:rPr>
          <w:rFonts w:ascii="IBM Plex Sans" w:eastAsia="IBM Plex Sans" w:hAnsi="IBM Plex Sans" w:cs="IBM Plex Sans"/>
          <w:color w:val="000000"/>
        </w:rPr>
        <w:sectPr w:rsidR="00662E3F" w:rsidSect="00CB0972">
          <w:pgSz w:w="11910" w:h="16845"/>
          <w:pgMar w:top="1440" w:right="1440" w:bottom="1440" w:left="1440" w:header="720" w:footer="720" w:gutter="0"/>
          <w:cols w:space="720"/>
        </w:sectPr>
      </w:pPr>
    </w:p>
    <w:p w14:paraId="41B25D56" w14:textId="494D398A" w:rsidR="000A62EE" w:rsidRPr="00662E3F" w:rsidRDefault="00000000">
      <w:pPr>
        <w:spacing w:before="120" w:after="120" w:line="336" w:lineRule="auto"/>
        <w:rPr>
          <w:rFonts w:ascii="Bodoni 72 Book" w:hAnsi="Bodoni 72 Book"/>
        </w:rPr>
      </w:pPr>
      <w:r w:rsidRPr="00662E3F">
        <w:rPr>
          <w:rFonts w:ascii="Bodoni 72 Book" w:eastAsia="Montserrat" w:hAnsi="Bodoni 72 Book" w:cs="Montserrat"/>
          <w:color w:val="897C75"/>
          <w:sz w:val="64"/>
          <w:szCs w:val="64"/>
        </w:rPr>
        <w:lastRenderedPageBreak/>
        <w:t xml:space="preserve">Management Approach </w:t>
      </w:r>
    </w:p>
    <w:p w14:paraId="72B37BBD" w14:textId="77777777" w:rsidR="000A62EE" w:rsidRDefault="000A62EE">
      <w:pPr>
        <w:pBdr>
          <w:bottom w:val="single" w:sz="6" w:space="0" w:color="897C75"/>
        </w:pBdr>
        <w:spacing w:before="120" w:after="120" w:line="0" w:lineRule="auto"/>
      </w:pPr>
    </w:p>
    <w:tbl>
      <w:tblPr>
        <w:tblStyle w:val="TableGrid"/>
        <w:tblW w:w="14312" w:type="dxa"/>
        <w:tblBorders>
          <w:top w:val="single" w:sz="6" w:space="0" w:color="DFCBBE"/>
          <w:left w:val="single" w:sz="6" w:space="0" w:color="DFCBBE"/>
          <w:bottom w:val="single" w:sz="6" w:space="0" w:color="DFCBBE"/>
          <w:right w:val="single" w:sz="6" w:space="0" w:color="DFCBBE"/>
          <w:insideH w:val="single" w:sz="6" w:space="0" w:color="DFCBBE"/>
          <w:insideV w:val="single" w:sz="6" w:space="0" w:color="DFCBBE"/>
        </w:tblBorders>
        <w:tblLook w:val="04A0" w:firstRow="1" w:lastRow="0" w:firstColumn="1" w:lastColumn="0" w:noHBand="0" w:noVBand="1"/>
      </w:tblPr>
      <w:tblGrid>
        <w:gridCol w:w="4251"/>
        <w:gridCol w:w="2126"/>
        <w:gridCol w:w="4358"/>
        <w:gridCol w:w="3577"/>
      </w:tblGrid>
      <w:tr w:rsidR="001F5B5A" w:rsidRPr="001F5B5A" w14:paraId="1CEED5CE" w14:textId="77777777" w:rsidTr="001F5B5A">
        <w:trPr>
          <w:trHeight w:val="467"/>
        </w:trPr>
        <w:tc>
          <w:tcPr>
            <w:tcW w:w="14312" w:type="dxa"/>
            <w:gridSpan w:val="4"/>
            <w:shd w:val="clear" w:color="auto" w:fill="DFCBBE"/>
            <w:vAlign w:val="center"/>
          </w:tcPr>
          <w:p w14:paraId="3944BC0B" w14:textId="6FFB3F47" w:rsidR="001F5B5A" w:rsidRPr="001F5B5A" w:rsidRDefault="001F5B5A" w:rsidP="001F5B5A">
            <w:pPr>
              <w:rPr>
                <w:rFonts w:ascii="Avenir Next Ultra Light" w:hAnsi="Avenir Next Ultra Light"/>
                <w:b/>
                <w:bCs/>
              </w:rPr>
            </w:pPr>
            <w:r w:rsidRPr="001F5B5A">
              <w:rPr>
                <w:rFonts w:ascii="Avenir Next Ultra Light" w:hAnsi="Avenir Next Ultra Light"/>
                <w:b/>
                <w:bCs/>
              </w:rPr>
              <w:t>National context and REDD+ overview</w:t>
            </w:r>
          </w:p>
        </w:tc>
      </w:tr>
      <w:tr w:rsidR="001F5B5A" w:rsidRPr="001F5B5A" w14:paraId="64B8A4AF" w14:textId="77777777" w:rsidTr="001F5B5A">
        <w:tc>
          <w:tcPr>
            <w:tcW w:w="4251" w:type="dxa"/>
            <w:shd w:val="clear" w:color="auto" w:fill="FEF1DA"/>
            <w:vAlign w:val="center"/>
          </w:tcPr>
          <w:p w14:paraId="118CF138"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Questions</w:t>
            </w:r>
          </w:p>
        </w:tc>
        <w:tc>
          <w:tcPr>
            <w:tcW w:w="2126" w:type="dxa"/>
            <w:shd w:val="clear" w:color="auto" w:fill="FEF1DA"/>
            <w:vAlign w:val="center"/>
          </w:tcPr>
          <w:p w14:paraId="670E995A"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Scoring</w:t>
            </w:r>
          </w:p>
          <w:p w14:paraId="361E11C0"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(Yes/No/Partially)</w:t>
            </w:r>
          </w:p>
        </w:tc>
        <w:tc>
          <w:tcPr>
            <w:tcW w:w="4358" w:type="dxa"/>
            <w:shd w:val="clear" w:color="auto" w:fill="FEF1DA"/>
            <w:vAlign w:val="center"/>
          </w:tcPr>
          <w:p w14:paraId="3A9BB67C"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Comments</w:t>
            </w:r>
          </w:p>
        </w:tc>
        <w:tc>
          <w:tcPr>
            <w:tcW w:w="3577" w:type="dxa"/>
            <w:shd w:val="clear" w:color="auto" w:fill="FEF1DA"/>
            <w:vAlign w:val="center"/>
          </w:tcPr>
          <w:p w14:paraId="02B494AF"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Means of verification</w:t>
            </w:r>
          </w:p>
        </w:tc>
      </w:tr>
      <w:tr w:rsidR="001F5B5A" w:rsidRPr="001F5B5A" w14:paraId="07FA4F51" w14:textId="77777777" w:rsidTr="001F5B5A">
        <w:tc>
          <w:tcPr>
            <w:tcW w:w="4251" w:type="dxa"/>
          </w:tcPr>
          <w:p w14:paraId="1A92C6BD" w14:textId="77777777" w:rsidR="001F5B5A" w:rsidRPr="001F5B5A" w:rsidRDefault="001F5B5A" w:rsidP="001F5B5A">
            <w:pPr>
              <w:pStyle w:val="ListParagraph"/>
              <w:numPr>
                <w:ilvl w:val="0"/>
                <w:numId w:val="17"/>
              </w:numPr>
              <w:rPr>
                <w:rFonts w:ascii="Avenir Next" w:hAnsi="Avenir Next"/>
                <w:b/>
                <w:bCs/>
                <w:sz w:val="20"/>
                <w:szCs w:val="20"/>
              </w:rPr>
            </w:pPr>
            <w:r w:rsidRPr="001F5B5A">
              <w:rPr>
                <w:rFonts w:ascii="Avenir Next" w:hAnsi="Avenir Next"/>
                <w:sz w:val="20"/>
                <w:szCs w:val="20"/>
              </w:rPr>
              <w:t>Does the SOI provide information on the scope, scale and stage of design and implementation of the of the REDD+ actions that are subject to this period of reporting?</w:t>
            </w:r>
          </w:p>
          <w:p w14:paraId="0BDF0021" w14:textId="77777777" w:rsidR="001F5B5A" w:rsidRPr="001F5B5A" w:rsidRDefault="001F5B5A" w:rsidP="00CE0AF6">
            <w:pPr>
              <w:pStyle w:val="ListParagraph"/>
              <w:rPr>
                <w:rFonts w:ascii="Avenir Next" w:hAnsi="Avenir Next"/>
                <w:b/>
                <w:bCs/>
                <w:sz w:val="20"/>
                <w:szCs w:val="20"/>
              </w:rPr>
            </w:pPr>
          </w:p>
        </w:tc>
        <w:tc>
          <w:tcPr>
            <w:tcW w:w="2126" w:type="dxa"/>
          </w:tcPr>
          <w:p w14:paraId="05149FB3" w14:textId="77777777" w:rsidR="001F5B5A" w:rsidRPr="001F5B5A" w:rsidRDefault="001F5B5A" w:rsidP="00CE0AF6">
            <w:pPr>
              <w:jc w:val="center"/>
              <w:rPr>
                <w:rFonts w:ascii="Avenir Next" w:hAnsi="Avenir Next"/>
                <w:b/>
                <w:bCs/>
                <w:sz w:val="20"/>
                <w:szCs w:val="20"/>
              </w:rPr>
            </w:pPr>
          </w:p>
        </w:tc>
        <w:tc>
          <w:tcPr>
            <w:tcW w:w="4358" w:type="dxa"/>
          </w:tcPr>
          <w:p w14:paraId="033F41DD" w14:textId="77777777" w:rsidR="001F5B5A" w:rsidRPr="001F5B5A" w:rsidRDefault="001F5B5A" w:rsidP="00CE0AF6">
            <w:pPr>
              <w:jc w:val="center"/>
              <w:rPr>
                <w:rFonts w:ascii="Avenir Next" w:hAnsi="Avenir Next"/>
                <w:b/>
                <w:bCs/>
                <w:sz w:val="20"/>
                <w:szCs w:val="20"/>
              </w:rPr>
            </w:pPr>
          </w:p>
        </w:tc>
        <w:tc>
          <w:tcPr>
            <w:tcW w:w="3577" w:type="dxa"/>
          </w:tcPr>
          <w:p w14:paraId="2CCE78BA" w14:textId="77777777" w:rsidR="001F5B5A" w:rsidRPr="001F5B5A" w:rsidRDefault="001F5B5A" w:rsidP="00CE0AF6">
            <w:pPr>
              <w:jc w:val="center"/>
              <w:rPr>
                <w:rFonts w:ascii="Avenir Next" w:hAnsi="Avenir Next"/>
                <w:b/>
                <w:bCs/>
                <w:sz w:val="20"/>
                <w:szCs w:val="20"/>
              </w:rPr>
            </w:pPr>
          </w:p>
        </w:tc>
      </w:tr>
      <w:tr w:rsidR="001F5B5A" w:rsidRPr="001F5B5A" w14:paraId="29548374" w14:textId="77777777" w:rsidTr="001F5B5A">
        <w:tc>
          <w:tcPr>
            <w:tcW w:w="4251" w:type="dxa"/>
          </w:tcPr>
          <w:p w14:paraId="28C19571"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Does the SOI provide information on any overarching governance arrangements and processes in place to respond to safeguards requirements for REDD+ (e.g. the SIS)?</w:t>
            </w:r>
          </w:p>
          <w:p w14:paraId="258EE0AD" w14:textId="77777777" w:rsidR="001F5B5A" w:rsidRPr="001F5B5A" w:rsidRDefault="001F5B5A" w:rsidP="00CE0AF6">
            <w:pPr>
              <w:pStyle w:val="ListParagraph"/>
              <w:rPr>
                <w:rFonts w:ascii="Avenir Next" w:hAnsi="Avenir Next"/>
                <w:sz w:val="20"/>
                <w:szCs w:val="20"/>
              </w:rPr>
            </w:pPr>
          </w:p>
        </w:tc>
        <w:tc>
          <w:tcPr>
            <w:tcW w:w="2126" w:type="dxa"/>
          </w:tcPr>
          <w:p w14:paraId="754E1167" w14:textId="77777777" w:rsidR="001F5B5A" w:rsidRPr="001F5B5A" w:rsidRDefault="001F5B5A" w:rsidP="00CE0AF6">
            <w:pPr>
              <w:jc w:val="center"/>
              <w:rPr>
                <w:rFonts w:ascii="Avenir Next" w:hAnsi="Avenir Next"/>
                <w:b/>
                <w:bCs/>
                <w:sz w:val="20"/>
                <w:szCs w:val="20"/>
              </w:rPr>
            </w:pPr>
          </w:p>
        </w:tc>
        <w:tc>
          <w:tcPr>
            <w:tcW w:w="4358" w:type="dxa"/>
          </w:tcPr>
          <w:p w14:paraId="4EFEA456" w14:textId="77777777" w:rsidR="001F5B5A" w:rsidRPr="001F5B5A" w:rsidRDefault="001F5B5A" w:rsidP="00CE0AF6">
            <w:pPr>
              <w:jc w:val="center"/>
              <w:rPr>
                <w:rFonts w:ascii="Avenir Next" w:hAnsi="Avenir Next"/>
                <w:b/>
                <w:bCs/>
                <w:sz w:val="20"/>
                <w:szCs w:val="20"/>
              </w:rPr>
            </w:pPr>
          </w:p>
        </w:tc>
        <w:tc>
          <w:tcPr>
            <w:tcW w:w="3577" w:type="dxa"/>
          </w:tcPr>
          <w:p w14:paraId="19F3641E" w14:textId="77777777" w:rsidR="001F5B5A" w:rsidRPr="001F5B5A" w:rsidRDefault="001F5B5A" w:rsidP="00CE0AF6">
            <w:pPr>
              <w:jc w:val="center"/>
              <w:rPr>
                <w:rFonts w:ascii="Avenir Next" w:hAnsi="Avenir Next"/>
                <w:b/>
                <w:bCs/>
                <w:sz w:val="20"/>
                <w:szCs w:val="20"/>
              </w:rPr>
            </w:pPr>
          </w:p>
        </w:tc>
      </w:tr>
      <w:tr w:rsidR="001F5B5A" w:rsidRPr="001F5B5A" w14:paraId="59E5D3AE" w14:textId="77777777" w:rsidTr="001F5B5A">
        <w:trPr>
          <w:trHeight w:val="435"/>
        </w:trPr>
        <w:tc>
          <w:tcPr>
            <w:tcW w:w="14312" w:type="dxa"/>
            <w:gridSpan w:val="4"/>
            <w:shd w:val="clear" w:color="auto" w:fill="DFCBBE"/>
            <w:vAlign w:val="center"/>
          </w:tcPr>
          <w:p w14:paraId="6E4EA391" w14:textId="79500364" w:rsidR="001F5B5A" w:rsidRPr="001F5B5A" w:rsidRDefault="001F5B5A" w:rsidP="001F5B5A">
            <w:pPr>
              <w:rPr>
                <w:rFonts w:ascii="Avenir Next Ultra Light" w:hAnsi="Avenir Next Ultra Light" w:cs="Calibri"/>
                <w:b/>
                <w:bCs/>
                <w:color w:val="000000" w:themeColor="text1"/>
              </w:rPr>
            </w:pPr>
            <w:r w:rsidRPr="001F5B5A">
              <w:rPr>
                <w:rFonts w:ascii="Avenir Next Ultra Light" w:hAnsi="Avenir Next Ultra Light"/>
                <w:b/>
                <w:bCs/>
              </w:rPr>
              <w:t>Description of each safeguard</w:t>
            </w:r>
            <w:r w:rsidRPr="001F5B5A">
              <w:rPr>
                <w:rFonts w:ascii="Avenir Next Ultra Light" w:hAnsi="Avenir Next Ultra Light" w:cs="Calibri"/>
                <w:b/>
                <w:bCs/>
                <w:color w:val="000000" w:themeColor="text1"/>
              </w:rPr>
              <w:t xml:space="preserve"> </w:t>
            </w:r>
          </w:p>
        </w:tc>
      </w:tr>
      <w:tr w:rsidR="001F5B5A" w:rsidRPr="001F5B5A" w14:paraId="6A5242BB" w14:textId="77777777" w:rsidTr="001F5B5A">
        <w:tc>
          <w:tcPr>
            <w:tcW w:w="4251" w:type="dxa"/>
            <w:shd w:val="clear" w:color="auto" w:fill="FEF1DA"/>
            <w:vAlign w:val="center"/>
          </w:tcPr>
          <w:p w14:paraId="60F6AA87"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Questions</w:t>
            </w:r>
          </w:p>
        </w:tc>
        <w:tc>
          <w:tcPr>
            <w:tcW w:w="2126" w:type="dxa"/>
            <w:shd w:val="clear" w:color="auto" w:fill="FEF1DA"/>
            <w:vAlign w:val="center"/>
          </w:tcPr>
          <w:p w14:paraId="71F8E198"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Scoring</w:t>
            </w:r>
          </w:p>
          <w:p w14:paraId="73F37B47"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(Yes/No/Partially)</w:t>
            </w:r>
          </w:p>
        </w:tc>
        <w:tc>
          <w:tcPr>
            <w:tcW w:w="4358" w:type="dxa"/>
            <w:shd w:val="clear" w:color="auto" w:fill="FEF1DA"/>
            <w:vAlign w:val="center"/>
          </w:tcPr>
          <w:p w14:paraId="5ECD44C2"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Comments</w:t>
            </w:r>
          </w:p>
        </w:tc>
        <w:tc>
          <w:tcPr>
            <w:tcW w:w="3577" w:type="dxa"/>
            <w:shd w:val="clear" w:color="auto" w:fill="FEF1DA"/>
            <w:vAlign w:val="center"/>
          </w:tcPr>
          <w:p w14:paraId="03D3AAF6"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Means of verification</w:t>
            </w:r>
          </w:p>
        </w:tc>
      </w:tr>
      <w:tr w:rsidR="001F5B5A" w:rsidRPr="001F5B5A" w14:paraId="3EAF0A59" w14:textId="77777777" w:rsidTr="001F5B5A">
        <w:tc>
          <w:tcPr>
            <w:tcW w:w="4251" w:type="dxa"/>
          </w:tcPr>
          <w:p w14:paraId="70D6F5F1"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Does the SOI include a description of each safeguard in accordance with national circumstances?</w:t>
            </w:r>
          </w:p>
          <w:p w14:paraId="01A621FB" w14:textId="77777777" w:rsidR="001F5B5A" w:rsidRPr="001F5B5A" w:rsidDel="00F57F2E" w:rsidRDefault="001F5B5A" w:rsidP="00CE0AF6">
            <w:pPr>
              <w:pStyle w:val="ListParagraph"/>
              <w:rPr>
                <w:rFonts w:ascii="Avenir Next" w:hAnsi="Avenir Next"/>
                <w:sz w:val="20"/>
                <w:szCs w:val="20"/>
              </w:rPr>
            </w:pPr>
          </w:p>
        </w:tc>
        <w:tc>
          <w:tcPr>
            <w:tcW w:w="2126" w:type="dxa"/>
          </w:tcPr>
          <w:p w14:paraId="5D723E39" w14:textId="77777777" w:rsidR="001F5B5A" w:rsidRPr="001F5B5A" w:rsidRDefault="001F5B5A" w:rsidP="00CE0AF6">
            <w:pPr>
              <w:rPr>
                <w:rFonts w:ascii="Avenir Next" w:hAnsi="Avenir Next"/>
                <w:sz w:val="20"/>
                <w:szCs w:val="20"/>
              </w:rPr>
            </w:pPr>
          </w:p>
        </w:tc>
        <w:tc>
          <w:tcPr>
            <w:tcW w:w="4358" w:type="dxa"/>
          </w:tcPr>
          <w:p w14:paraId="02C9F8B6" w14:textId="77777777" w:rsidR="001F5B5A" w:rsidRPr="001F5B5A" w:rsidRDefault="001F5B5A" w:rsidP="00CE0AF6">
            <w:pPr>
              <w:rPr>
                <w:rFonts w:ascii="Avenir Next" w:hAnsi="Avenir Next"/>
                <w:sz w:val="20"/>
                <w:szCs w:val="20"/>
              </w:rPr>
            </w:pPr>
          </w:p>
        </w:tc>
        <w:tc>
          <w:tcPr>
            <w:tcW w:w="3577" w:type="dxa"/>
          </w:tcPr>
          <w:p w14:paraId="1957218E" w14:textId="77777777" w:rsidR="001F5B5A" w:rsidRPr="001F5B5A" w:rsidRDefault="001F5B5A" w:rsidP="00CE0AF6">
            <w:pPr>
              <w:rPr>
                <w:rFonts w:ascii="Avenir Next" w:hAnsi="Avenir Next"/>
                <w:sz w:val="20"/>
                <w:szCs w:val="20"/>
              </w:rPr>
            </w:pPr>
          </w:p>
        </w:tc>
      </w:tr>
      <w:tr w:rsidR="001F5B5A" w:rsidRPr="001F5B5A" w14:paraId="372FA3C7" w14:textId="77777777" w:rsidTr="001F5B5A">
        <w:tc>
          <w:tcPr>
            <w:tcW w:w="4251" w:type="dxa"/>
          </w:tcPr>
          <w:p w14:paraId="5C2CC6EE"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 xml:space="preserve">Does the SOI provide information on the stakeholder engagement process conducted to adopt the </w:t>
            </w:r>
            <w:r w:rsidRPr="001F5B5A">
              <w:rPr>
                <w:rFonts w:ascii="Avenir Next" w:hAnsi="Avenir Next"/>
                <w:sz w:val="20"/>
                <w:szCs w:val="20"/>
              </w:rPr>
              <w:lastRenderedPageBreak/>
              <w:t>description of each safeguard?</w:t>
            </w:r>
          </w:p>
          <w:p w14:paraId="3CD8870E" w14:textId="77777777" w:rsidR="001F5B5A" w:rsidRPr="001F5B5A" w:rsidRDefault="001F5B5A" w:rsidP="00CE0AF6">
            <w:pPr>
              <w:pStyle w:val="ListParagraph"/>
              <w:rPr>
                <w:rFonts w:ascii="Avenir Next" w:hAnsi="Avenir Next"/>
                <w:sz w:val="20"/>
                <w:szCs w:val="20"/>
              </w:rPr>
            </w:pPr>
          </w:p>
        </w:tc>
        <w:tc>
          <w:tcPr>
            <w:tcW w:w="2126" w:type="dxa"/>
          </w:tcPr>
          <w:p w14:paraId="59C201D2" w14:textId="77777777" w:rsidR="001F5B5A" w:rsidRPr="001F5B5A" w:rsidRDefault="001F5B5A" w:rsidP="00CE0AF6">
            <w:pPr>
              <w:rPr>
                <w:rFonts w:ascii="Avenir Next" w:hAnsi="Avenir Next"/>
                <w:sz w:val="20"/>
                <w:szCs w:val="20"/>
              </w:rPr>
            </w:pPr>
          </w:p>
        </w:tc>
        <w:tc>
          <w:tcPr>
            <w:tcW w:w="4358" w:type="dxa"/>
          </w:tcPr>
          <w:p w14:paraId="02CCB80C" w14:textId="77777777" w:rsidR="001F5B5A" w:rsidRPr="001F5B5A" w:rsidRDefault="001F5B5A" w:rsidP="00CE0AF6">
            <w:pPr>
              <w:rPr>
                <w:rFonts w:ascii="Avenir Next" w:hAnsi="Avenir Next"/>
                <w:sz w:val="20"/>
                <w:szCs w:val="20"/>
              </w:rPr>
            </w:pPr>
          </w:p>
        </w:tc>
        <w:tc>
          <w:tcPr>
            <w:tcW w:w="3577" w:type="dxa"/>
          </w:tcPr>
          <w:p w14:paraId="02BD6746" w14:textId="77777777" w:rsidR="001F5B5A" w:rsidRPr="001F5B5A" w:rsidRDefault="001F5B5A" w:rsidP="00CE0AF6">
            <w:pPr>
              <w:rPr>
                <w:rFonts w:ascii="Avenir Next" w:hAnsi="Avenir Next"/>
                <w:sz w:val="20"/>
                <w:szCs w:val="20"/>
              </w:rPr>
            </w:pPr>
          </w:p>
        </w:tc>
      </w:tr>
      <w:tr w:rsidR="001F5B5A" w:rsidRPr="001F5B5A" w14:paraId="0DF97844" w14:textId="77777777" w:rsidTr="001F5B5A">
        <w:trPr>
          <w:trHeight w:val="408"/>
        </w:trPr>
        <w:tc>
          <w:tcPr>
            <w:tcW w:w="14312" w:type="dxa"/>
            <w:gridSpan w:val="4"/>
            <w:shd w:val="clear" w:color="auto" w:fill="DFCBBE"/>
            <w:vAlign w:val="center"/>
          </w:tcPr>
          <w:p w14:paraId="68BBF6D7" w14:textId="63283851" w:rsidR="001F5B5A" w:rsidRPr="001F5B5A" w:rsidRDefault="001F5B5A" w:rsidP="001F5B5A">
            <w:pPr>
              <w:rPr>
                <w:rFonts w:ascii="Avenir Next Ultra Light" w:hAnsi="Avenir Next Ultra Light" w:cs="Calibri"/>
                <w:b/>
                <w:bCs/>
                <w:color w:val="000000" w:themeColor="text1"/>
                <w:lang w:val="en-US"/>
              </w:rPr>
            </w:pPr>
            <w:r w:rsidRPr="001F5B5A">
              <w:rPr>
                <w:rFonts w:ascii="Avenir Next Ultra Light" w:hAnsi="Avenir Next Ultra Light"/>
                <w:b/>
                <w:bCs/>
              </w:rPr>
              <w:t>Conformance with REDD+ safeguards</w:t>
            </w:r>
            <w:r w:rsidRPr="001F5B5A">
              <w:rPr>
                <w:rFonts w:ascii="Avenir Next Ultra Light" w:hAnsi="Avenir Next Ultra Light" w:cs="Calibri"/>
                <w:b/>
                <w:bCs/>
                <w:color w:val="000000" w:themeColor="text1"/>
                <w:lang w:val="en-US"/>
              </w:rPr>
              <w:t xml:space="preserve"> </w:t>
            </w:r>
          </w:p>
        </w:tc>
      </w:tr>
      <w:tr w:rsidR="001F5B5A" w:rsidRPr="001F5B5A" w14:paraId="12DCE81A" w14:textId="77777777" w:rsidTr="001F5B5A">
        <w:tc>
          <w:tcPr>
            <w:tcW w:w="4251" w:type="dxa"/>
            <w:shd w:val="clear" w:color="auto" w:fill="FEF1DA"/>
            <w:vAlign w:val="center"/>
          </w:tcPr>
          <w:p w14:paraId="36877A3B"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Questions</w:t>
            </w:r>
          </w:p>
        </w:tc>
        <w:tc>
          <w:tcPr>
            <w:tcW w:w="2126" w:type="dxa"/>
            <w:shd w:val="clear" w:color="auto" w:fill="FEF1DA"/>
            <w:vAlign w:val="center"/>
          </w:tcPr>
          <w:p w14:paraId="066905C0"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Scoring</w:t>
            </w:r>
          </w:p>
          <w:p w14:paraId="060E41D6"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(Yes/No/Partially)</w:t>
            </w:r>
          </w:p>
        </w:tc>
        <w:tc>
          <w:tcPr>
            <w:tcW w:w="4358" w:type="dxa"/>
            <w:shd w:val="clear" w:color="auto" w:fill="FEF1DA"/>
            <w:vAlign w:val="center"/>
          </w:tcPr>
          <w:p w14:paraId="6C007339"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Comments</w:t>
            </w:r>
          </w:p>
        </w:tc>
        <w:tc>
          <w:tcPr>
            <w:tcW w:w="3577" w:type="dxa"/>
            <w:shd w:val="clear" w:color="auto" w:fill="FEF1DA"/>
            <w:vAlign w:val="center"/>
          </w:tcPr>
          <w:p w14:paraId="685152A8"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Means of verification</w:t>
            </w:r>
          </w:p>
        </w:tc>
      </w:tr>
      <w:tr w:rsidR="001F5B5A" w:rsidRPr="001F5B5A" w14:paraId="30144DE8" w14:textId="77777777" w:rsidTr="001F5B5A">
        <w:tc>
          <w:tcPr>
            <w:tcW w:w="4251" w:type="dxa"/>
          </w:tcPr>
          <w:p w14:paraId="3FC0E498" w14:textId="77777777" w:rsidR="001F5B5A" w:rsidRPr="001F5B5A" w:rsidRDefault="001F5B5A" w:rsidP="001F5B5A">
            <w:pPr>
              <w:pStyle w:val="ListParagraph"/>
              <w:numPr>
                <w:ilvl w:val="0"/>
                <w:numId w:val="17"/>
              </w:numPr>
              <w:rPr>
                <w:rFonts w:ascii="Avenir Next" w:hAnsi="Avenir Next"/>
                <w:sz w:val="20"/>
                <w:szCs w:val="20"/>
                <w:lang w:val="en-US"/>
              </w:rPr>
            </w:pPr>
            <w:r w:rsidRPr="001F5B5A">
              <w:rPr>
                <w:rFonts w:ascii="Avenir Next" w:hAnsi="Avenir Next"/>
                <w:sz w:val="20"/>
                <w:szCs w:val="20"/>
              </w:rPr>
              <w:t xml:space="preserve">Does the SOI identify and describe the </w:t>
            </w:r>
            <w:r w:rsidRPr="001F5B5A">
              <w:rPr>
                <w:rFonts w:ascii="Avenir Next" w:hAnsi="Avenir Next"/>
                <w:sz w:val="20"/>
                <w:szCs w:val="20"/>
                <w:lang w:val="en-US"/>
              </w:rPr>
              <w:t xml:space="preserve">overarching legal and institutional arrangements that </w:t>
            </w:r>
            <w:r w:rsidRPr="001F5B5A">
              <w:rPr>
                <w:rFonts w:ascii="Avenir Next" w:hAnsi="Avenir Next"/>
                <w:sz w:val="20"/>
                <w:szCs w:val="20"/>
              </w:rPr>
              <w:t>guarantee conformance with each safeguard and the context of the implementation of the REDD+ actions?</w:t>
            </w:r>
          </w:p>
          <w:p w14:paraId="660E6911" w14:textId="77777777" w:rsidR="001F5B5A" w:rsidRPr="001F5B5A" w:rsidRDefault="001F5B5A" w:rsidP="00CE0AF6">
            <w:pPr>
              <w:pStyle w:val="ListParagraph"/>
              <w:rPr>
                <w:rFonts w:ascii="Avenir Next" w:hAnsi="Avenir Next"/>
                <w:sz w:val="20"/>
                <w:szCs w:val="20"/>
              </w:rPr>
            </w:pPr>
          </w:p>
        </w:tc>
        <w:tc>
          <w:tcPr>
            <w:tcW w:w="2126" w:type="dxa"/>
          </w:tcPr>
          <w:p w14:paraId="51E1A6D0" w14:textId="77777777" w:rsidR="001F5B5A" w:rsidRPr="001F5B5A" w:rsidRDefault="001F5B5A" w:rsidP="00CE0AF6">
            <w:pPr>
              <w:rPr>
                <w:rFonts w:ascii="Avenir Next" w:hAnsi="Avenir Next"/>
                <w:sz w:val="20"/>
                <w:szCs w:val="20"/>
              </w:rPr>
            </w:pPr>
          </w:p>
        </w:tc>
        <w:tc>
          <w:tcPr>
            <w:tcW w:w="4358" w:type="dxa"/>
          </w:tcPr>
          <w:p w14:paraId="58C95A25" w14:textId="77777777" w:rsidR="001F5B5A" w:rsidRPr="001F5B5A" w:rsidRDefault="001F5B5A" w:rsidP="00CE0AF6">
            <w:pPr>
              <w:rPr>
                <w:rFonts w:ascii="Avenir Next" w:hAnsi="Avenir Next"/>
                <w:sz w:val="20"/>
                <w:szCs w:val="20"/>
              </w:rPr>
            </w:pPr>
          </w:p>
        </w:tc>
        <w:tc>
          <w:tcPr>
            <w:tcW w:w="3577" w:type="dxa"/>
          </w:tcPr>
          <w:p w14:paraId="3F941C73" w14:textId="77777777" w:rsidR="001F5B5A" w:rsidRPr="001F5B5A" w:rsidRDefault="001F5B5A" w:rsidP="00CE0AF6">
            <w:pPr>
              <w:rPr>
                <w:rFonts w:ascii="Avenir Next" w:hAnsi="Avenir Next"/>
                <w:sz w:val="20"/>
                <w:szCs w:val="20"/>
              </w:rPr>
            </w:pPr>
          </w:p>
        </w:tc>
      </w:tr>
      <w:tr w:rsidR="001F5B5A" w:rsidRPr="001F5B5A" w14:paraId="2B7EEA02" w14:textId="77777777" w:rsidTr="001F5B5A">
        <w:tc>
          <w:tcPr>
            <w:tcW w:w="4251" w:type="dxa"/>
          </w:tcPr>
          <w:p w14:paraId="15FD86DD"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 xml:space="preserve">Does the SOI provide information </w:t>
            </w:r>
            <w:r w:rsidRPr="001F5B5A">
              <w:rPr>
                <w:rFonts w:ascii="Avenir Next" w:hAnsi="Avenir Next"/>
                <w:sz w:val="20"/>
                <w:szCs w:val="20"/>
                <w:lang w:val="en-US"/>
              </w:rPr>
              <w:t xml:space="preserve">of </w:t>
            </w:r>
            <w:r w:rsidRPr="001F5B5A">
              <w:rPr>
                <w:rFonts w:ascii="Avenir Next" w:hAnsi="Avenir Next"/>
                <w:sz w:val="20"/>
                <w:szCs w:val="20"/>
              </w:rPr>
              <w:t xml:space="preserve">the </w:t>
            </w:r>
            <w:proofErr w:type="gramStart"/>
            <w:r w:rsidRPr="001F5B5A">
              <w:rPr>
                <w:rFonts w:ascii="Avenir Next" w:hAnsi="Avenir Next"/>
                <w:sz w:val="20"/>
                <w:szCs w:val="20"/>
              </w:rPr>
              <w:t>particular outcomes</w:t>
            </w:r>
            <w:proofErr w:type="gramEnd"/>
            <w:r w:rsidRPr="001F5B5A">
              <w:rPr>
                <w:rFonts w:ascii="Avenir Next" w:hAnsi="Avenir Next"/>
                <w:sz w:val="20"/>
                <w:szCs w:val="20"/>
              </w:rPr>
              <w:t xml:space="preserve"> of the REDD+ actions in correlation to each safeguard?</w:t>
            </w:r>
          </w:p>
          <w:p w14:paraId="3A2B8DFF" w14:textId="77777777" w:rsidR="001F5B5A" w:rsidRPr="001F5B5A" w:rsidRDefault="001F5B5A" w:rsidP="00CE0AF6">
            <w:pPr>
              <w:pStyle w:val="ListParagraph"/>
              <w:rPr>
                <w:rFonts w:ascii="Avenir Next" w:hAnsi="Avenir Next"/>
                <w:sz w:val="20"/>
                <w:szCs w:val="20"/>
              </w:rPr>
            </w:pPr>
          </w:p>
        </w:tc>
        <w:tc>
          <w:tcPr>
            <w:tcW w:w="2126" w:type="dxa"/>
          </w:tcPr>
          <w:p w14:paraId="33F354F1" w14:textId="77777777" w:rsidR="001F5B5A" w:rsidRPr="001F5B5A" w:rsidRDefault="001F5B5A" w:rsidP="00CE0AF6">
            <w:pPr>
              <w:rPr>
                <w:rFonts w:ascii="Avenir Next" w:hAnsi="Avenir Next"/>
                <w:sz w:val="20"/>
                <w:szCs w:val="20"/>
              </w:rPr>
            </w:pPr>
          </w:p>
        </w:tc>
        <w:tc>
          <w:tcPr>
            <w:tcW w:w="4358" w:type="dxa"/>
          </w:tcPr>
          <w:p w14:paraId="190E6B35" w14:textId="77777777" w:rsidR="001F5B5A" w:rsidRPr="001F5B5A" w:rsidRDefault="001F5B5A" w:rsidP="00CE0AF6">
            <w:pPr>
              <w:rPr>
                <w:rFonts w:ascii="Avenir Next" w:hAnsi="Avenir Next"/>
                <w:sz w:val="20"/>
                <w:szCs w:val="20"/>
              </w:rPr>
            </w:pPr>
          </w:p>
        </w:tc>
        <w:tc>
          <w:tcPr>
            <w:tcW w:w="3577" w:type="dxa"/>
          </w:tcPr>
          <w:p w14:paraId="593398EF" w14:textId="77777777" w:rsidR="001F5B5A" w:rsidRPr="001F5B5A" w:rsidRDefault="001F5B5A" w:rsidP="00CE0AF6">
            <w:pPr>
              <w:rPr>
                <w:rFonts w:ascii="Avenir Next" w:hAnsi="Avenir Next"/>
                <w:sz w:val="20"/>
                <w:szCs w:val="20"/>
              </w:rPr>
            </w:pPr>
          </w:p>
        </w:tc>
      </w:tr>
      <w:tr w:rsidR="001F5B5A" w:rsidRPr="001F5B5A" w14:paraId="5BA4D9FC" w14:textId="77777777" w:rsidTr="001F5B5A">
        <w:tc>
          <w:tcPr>
            <w:tcW w:w="4251" w:type="dxa"/>
          </w:tcPr>
          <w:p w14:paraId="3EE418C2"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Does the SOI identify challenges (including capacity, financial, and technical needs) in ensuring conformance with the safeguards, and identify potential measures for improvement?</w:t>
            </w:r>
          </w:p>
          <w:p w14:paraId="4F968FA2" w14:textId="77777777" w:rsidR="001F5B5A" w:rsidRPr="001F5B5A" w:rsidRDefault="001F5B5A" w:rsidP="00CE0AF6">
            <w:pPr>
              <w:pStyle w:val="ListParagraph"/>
              <w:rPr>
                <w:rFonts w:ascii="Avenir Next" w:hAnsi="Avenir Next"/>
                <w:sz w:val="20"/>
                <w:szCs w:val="20"/>
              </w:rPr>
            </w:pPr>
          </w:p>
        </w:tc>
        <w:tc>
          <w:tcPr>
            <w:tcW w:w="2126" w:type="dxa"/>
          </w:tcPr>
          <w:p w14:paraId="5E112CCA" w14:textId="77777777" w:rsidR="001F5B5A" w:rsidRPr="001F5B5A" w:rsidRDefault="001F5B5A" w:rsidP="00CE0AF6">
            <w:pPr>
              <w:rPr>
                <w:rFonts w:ascii="Avenir Next" w:hAnsi="Avenir Next"/>
                <w:sz w:val="20"/>
                <w:szCs w:val="20"/>
              </w:rPr>
            </w:pPr>
          </w:p>
        </w:tc>
        <w:tc>
          <w:tcPr>
            <w:tcW w:w="4358" w:type="dxa"/>
          </w:tcPr>
          <w:p w14:paraId="53F033A6" w14:textId="77777777" w:rsidR="001F5B5A" w:rsidRPr="001F5B5A" w:rsidRDefault="001F5B5A" w:rsidP="00CE0AF6">
            <w:pPr>
              <w:rPr>
                <w:rFonts w:ascii="Avenir Next" w:hAnsi="Avenir Next"/>
                <w:sz w:val="20"/>
                <w:szCs w:val="20"/>
              </w:rPr>
            </w:pPr>
          </w:p>
        </w:tc>
        <w:tc>
          <w:tcPr>
            <w:tcW w:w="3577" w:type="dxa"/>
          </w:tcPr>
          <w:p w14:paraId="40FA4138" w14:textId="77777777" w:rsidR="001F5B5A" w:rsidRPr="001F5B5A" w:rsidRDefault="001F5B5A" w:rsidP="00CE0AF6">
            <w:pPr>
              <w:rPr>
                <w:rFonts w:ascii="Avenir Next" w:hAnsi="Avenir Next"/>
                <w:sz w:val="20"/>
                <w:szCs w:val="20"/>
              </w:rPr>
            </w:pPr>
          </w:p>
        </w:tc>
      </w:tr>
      <w:tr w:rsidR="001F5B5A" w:rsidRPr="001F5B5A" w14:paraId="416DB32A" w14:textId="77777777" w:rsidTr="001F5B5A">
        <w:trPr>
          <w:trHeight w:val="417"/>
        </w:trPr>
        <w:tc>
          <w:tcPr>
            <w:tcW w:w="14312" w:type="dxa"/>
            <w:gridSpan w:val="4"/>
            <w:shd w:val="clear" w:color="auto" w:fill="DFCBBE"/>
            <w:vAlign w:val="center"/>
          </w:tcPr>
          <w:p w14:paraId="129A3847" w14:textId="14B6DB67" w:rsidR="001F5B5A" w:rsidRPr="001F5B5A" w:rsidRDefault="001F5B5A" w:rsidP="001F5B5A">
            <w:pPr>
              <w:rPr>
                <w:rFonts w:ascii="Avenir Next Ultra Light" w:hAnsi="Avenir Next Ultra Light" w:cs="Calibri"/>
                <w:b/>
                <w:bCs/>
                <w:color w:val="000000" w:themeColor="text1"/>
              </w:rPr>
            </w:pPr>
            <w:r w:rsidRPr="001F5B5A">
              <w:rPr>
                <w:rFonts w:ascii="Avenir Next Ultra Light" w:hAnsi="Avenir Next Ultra Light"/>
                <w:b/>
                <w:bCs/>
              </w:rPr>
              <w:t>Stakeholder engagement</w:t>
            </w:r>
          </w:p>
        </w:tc>
      </w:tr>
      <w:tr w:rsidR="001F5B5A" w:rsidRPr="001F5B5A" w14:paraId="39013E04" w14:textId="77777777" w:rsidTr="001F5B5A">
        <w:tc>
          <w:tcPr>
            <w:tcW w:w="4251" w:type="dxa"/>
            <w:shd w:val="clear" w:color="auto" w:fill="FEF1DA"/>
            <w:vAlign w:val="center"/>
          </w:tcPr>
          <w:p w14:paraId="287F3504"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Questions</w:t>
            </w:r>
          </w:p>
        </w:tc>
        <w:tc>
          <w:tcPr>
            <w:tcW w:w="2126" w:type="dxa"/>
            <w:shd w:val="clear" w:color="auto" w:fill="FEF1DA"/>
            <w:vAlign w:val="center"/>
          </w:tcPr>
          <w:p w14:paraId="33219D5D"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Scoring</w:t>
            </w:r>
          </w:p>
          <w:p w14:paraId="2B9EDA7E"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(Yes/No/Partially)</w:t>
            </w:r>
          </w:p>
        </w:tc>
        <w:tc>
          <w:tcPr>
            <w:tcW w:w="4358" w:type="dxa"/>
            <w:shd w:val="clear" w:color="auto" w:fill="FEF1DA"/>
            <w:vAlign w:val="center"/>
          </w:tcPr>
          <w:p w14:paraId="0830E839"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Comments</w:t>
            </w:r>
          </w:p>
        </w:tc>
        <w:tc>
          <w:tcPr>
            <w:tcW w:w="3577" w:type="dxa"/>
            <w:shd w:val="clear" w:color="auto" w:fill="FEF1DA"/>
            <w:vAlign w:val="center"/>
          </w:tcPr>
          <w:p w14:paraId="57497B04"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Means of verification</w:t>
            </w:r>
          </w:p>
        </w:tc>
      </w:tr>
      <w:tr w:rsidR="001F5B5A" w:rsidRPr="001F5B5A" w14:paraId="64A4E5B6" w14:textId="77777777" w:rsidTr="001F5B5A">
        <w:tc>
          <w:tcPr>
            <w:tcW w:w="4251" w:type="dxa"/>
          </w:tcPr>
          <w:p w14:paraId="7FB4F910" w14:textId="77777777" w:rsidR="001F5B5A" w:rsidRPr="001F5B5A" w:rsidRDefault="001F5B5A" w:rsidP="001F5B5A">
            <w:pPr>
              <w:pStyle w:val="ListParagraph"/>
              <w:numPr>
                <w:ilvl w:val="0"/>
                <w:numId w:val="17"/>
              </w:numPr>
              <w:rPr>
                <w:rFonts w:ascii="Avenir Next" w:hAnsi="Avenir Next"/>
                <w:sz w:val="20"/>
                <w:szCs w:val="20"/>
              </w:rPr>
            </w:pPr>
            <w:r w:rsidRPr="001F5B5A">
              <w:rPr>
                <w:rFonts w:ascii="Avenir Next" w:hAnsi="Avenir Next"/>
                <w:sz w:val="20"/>
                <w:szCs w:val="20"/>
              </w:rPr>
              <w:t>Does the SOI present information on how the SOI was prepared?</w:t>
            </w:r>
          </w:p>
        </w:tc>
        <w:tc>
          <w:tcPr>
            <w:tcW w:w="2126" w:type="dxa"/>
          </w:tcPr>
          <w:p w14:paraId="5CC3E44E" w14:textId="77777777" w:rsidR="001F5B5A" w:rsidRPr="001F5B5A" w:rsidRDefault="001F5B5A" w:rsidP="00CE0AF6">
            <w:pPr>
              <w:rPr>
                <w:rFonts w:ascii="Avenir Next" w:hAnsi="Avenir Next"/>
                <w:sz w:val="20"/>
                <w:szCs w:val="20"/>
              </w:rPr>
            </w:pPr>
          </w:p>
        </w:tc>
        <w:tc>
          <w:tcPr>
            <w:tcW w:w="4358" w:type="dxa"/>
          </w:tcPr>
          <w:p w14:paraId="621A6A29" w14:textId="77777777" w:rsidR="001F5B5A" w:rsidRPr="001F5B5A" w:rsidRDefault="001F5B5A" w:rsidP="00CE0AF6">
            <w:pPr>
              <w:rPr>
                <w:rFonts w:ascii="Avenir Next" w:hAnsi="Avenir Next"/>
                <w:sz w:val="20"/>
                <w:szCs w:val="20"/>
              </w:rPr>
            </w:pPr>
          </w:p>
        </w:tc>
        <w:tc>
          <w:tcPr>
            <w:tcW w:w="3577" w:type="dxa"/>
          </w:tcPr>
          <w:p w14:paraId="2A67A154" w14:textId="77777777" w:rsidR="001F5B5A" w:rsidRPr="001F5B5A" w:rsidRDefault="001F5B5A" w:rsidP="00CE0AF6">
            <w:pPr>
              <w:rPr>
                <w:rFonts w:ascii="Avenir Next" w:hAnsi="Avenir Next"/>
                <w:sz w:val="20"/>
                <w:szCs w:val="20"/>
              </w:rPr>
            </w:pPr>
          </w:p>
        </w:tc>
      </w:tr>
    </w:tbl>
    <w:p w14:paraId="47690906" w14:textId="77777777" w:rsidR="001F5B5A" w:rsidRDefault="001F5B5A">
      <w:pPr>
        <w:spacing w:before="120" w:after="120" w:line="336" w:lineRule="auto"/>
        <w:rPr>
          <w:rFonts w:ascii="Avenir Next" w:eastAsia="IBM Plex Sans" w:hAnsi="Avenir Next" w:cs="IBM Plex Sans"/>
          <w:color w:val="000000"/>
          <w:sz w:val="20"/>
          <w:szCs w:val="20"/>
        </w:rPr>
        <w:sectPr w:rsidR="001F5B5A" w:rsidSect="00CB0972">
          <w:pgSz w:w="16845" w:h="11910" w:orient="landscape"/>
          <w:pgMar w:top="1440" w:right="1440" w:bottom="1440" w:left="1440" w:header="720" w:footer="720" w:gutter="0"/>
          <w:cols w:space="720"/>
          <w:docGrid w:linePitch="326"/>
        </w:sectPr>
      </w:pPr>
    </w:p>
    <w:p w14:paraId="32431FEC" w14:textId="544B0C30" w:rsidR="000A62EE" w:rsidRPr="001F5B5A" w:rsidRDefault="001F5B5A">
      <w:pPr>
        <w:spacing w:before="120" w:after="120" w:line="336" w:lineRule="auto"/>
        <w:rPr>
          <w:rFonts w:ascii="Bodoni 72 Book" w:hAnsi="Bodoni 72 Book"/>
        </w:rPr>
      </w:pPr>
      <w:r w:rsidRPr="001F5B5A">
        <w:rPr>
          <w:rFonts w:ascii="Bodoni 72 Book" w:eastAsia="Montserrat" w:hAnsi="Bodoni 72 Book" w:cs="Montserrat"/>
          <w:color w:val="897C75"/>
          <w:sz w:val="64"/>
          <w:szCs w:val="64"/>
        </w:rPr>
        <w:lastRenderedPageBreak/>
        <w:t xml:space="preserve">Section B: Template Report for the Qualitative Assessment  </w:t>
      </w:r>
    </w:p>
    <w:p w14:paraId="542C715B" w14:textId="77777777" w:rsidR="000A62EE" w:rsidRDefault="000A62EE">
      <w:pPr>
        <w:pBdr>
          <w:bottom w:val="single" w:sz="6" w:space="0" w:color="897C75"/>
        </w:pBdr>
        <w:spacing w:before="120" w:after="120" w:line="0" w:lineRule="auto"/>
      </w:pPr>
    </w:p>
    <w:p w14:paraId="03C055D6" w14:textId="77777777" w:rsidR="001F5B5A" w:rsidRPr="00B73162" w:rsidRDefault="001F5B5A" w:rsidP="001F5B5A">
      <w:pPr>
        <w:spacing w:before="120" w:after="120" w:line="336" w:lineRule="auto"/>
        <w:rPr>
          <w:rFonts w:ascii="Avenir Next" w:eastAsia="IBM Plex Sans" w:hAnsi="Avenir Next" w:cs="IBM Plex Sans"/>
          <w:color w:val="000000"/>
          <w:sz w:val="20"/>
          <w:szCs w:val="20"/>
        </w:rPr>
      </w:pPr>
      <w:r w:rsidRPr="00B73162">
        <w:rPr>
          <w:rFonts w:ascii="Avenir Next" w:eastAsia="IBM Plex Sans" w:hAnsi="Avenir Next" w:cs="IBM Plex Sans"/>
          <w:color w:val="000000"/>
          <w:sz w:val="20"/>
          <w:szCs w:val="20"/>
        </w:rPr>
        <w:t xml:space="preserve">To complete this template report, users (with the support of from a selected expert international organization) should consider the answers provided in ‘Section A’ above. In completing this template, users will need to consider the scope of each column as follows: </w:t>
      </w:r>
    </w:p>
    <w:p w14:paraId="3ED3AFA1" w14:textId="77777777" w:rsidR="001F5B5A" w:rsidRPr="00B73162" w:rsidRDefault="001F5B5A" w:rsidP="001F5B5A">
      <w:pPr>
        <w:pStyle w:val="ListParagraph"/>
        <w:numPr>
          <w:ilvl w:val="0"/>
          <w:numId w:val="18"/>
        </w:numPr>
        <w:spacing w:before="120" w:after="120" w:line="336" w:lineRule="auto"/>
        <w:rPr>
          <w:rFonts w:ascii="Avenir Next" w:eastAsia="IBM Plex Sans" w:hAnsi="Avenir Next" w:cs="IBM Plex Sans"/>
          <w:color w:val="000000"/>
          <w:sz w:val="20"/>
          <w:szCs w:val="20"/>
        </w:rPr>
      </w:pPr>
      <w:r w:rsidRPr="00B73162">
        <w:rPr>
          <w:rFonts w:ascii="Avenir Next" w:eastAsia="IBM Plex Sans" w:hAnsi="Avenir Next" w:cs="IBM Plex Sans"/>
          <w:color w:val="000000"/>
          <w:sz w:val="20"/>
          <w:szCs w:val="20"/>
        </w:rPr>
        <w:t>Column 2 (Shortcomings or Gaps Identified): for users to identify and summarize the key shortcomings or gaps (issues of non-conformance) identified in correlation to each of the international best practices, that is, when the scoring identified was ‘Partially’ or ‘No’ in ‘Section A’. There is also an opportunity to identify other/general shortcomings.</w:t>
      </w:r>
    </w:p>
    <w:p w14:paraId="6E158857" w14:textId="77777777" w:rsidR="001F5B5A" w:rsidRPr="00B73162" w:rsidRDefault="001F5B5A" w:rsidP="001F5B5A">
      <w:pPr>
        <w:pStyle w:val="ListParagraph"/>
        <w:numPr>
          <w:ilvl w:val="0"/>
          <w:numId w:val="18"/>
        </w:numPr>
        <w:spacing w:before="120" w:after="120" w:line="336" w:lineRule="auto"/>
        <w:rPr>
          <w:rFonts w:ascii="Avenir Next" w:eastAsia="IBM Plex Sans" w:hAnsi="Avenir Next" w:cs="IBM Plex Sans"/>
          <w:color w:val="000000"/>
          <w:sz w:val="20"/>
          <w:szCs w:val="20"/>
        </w:rPr>
      </w:pPr>
      <w:r w:rsidRPr="00B73162">
        <w:rPr>
          <w:rFonts w:ascii="Avenir Next" w:eastAsia="IBM Plex Sans" w:hAnsi="Avenir Next" w:cs="IBM Plex Sans"/>
          <w:color w:val="000000"/>
          <w:sz w:val="20"/>
          <w:szCs w:val="20"/>
        </w:rPr>
        <w:t>Column 3 (Recommendations): for users to identify actions/recommendations to be taken to address these key shortcomings or gaps.  Zoom in on the company's sustainability performance within the reporting period, including progress toward goals and targets.</w:t>
      </w:r>
    </w:p>
    <w:tbl>
      <w:tblPr>
        <w:tblStyle w:val="TableGrid"/>
        <w:tblW w:w="5000" w:type="pct"/>
        <w:tblBorders>
          <w:top w:val="single" w:sz="6" w:space="0" w:color="DFCBBE"/>
          <w:left w:val="single" w:sz="6" w:space="0" w:color="DFCBBE"/>
          <w:bottom w:val="single" w:sz="6" w:space="0" w:color="DFCBBE"/>
          <w:right w:val="single" w:sz="6" w:space="0" w:color="DFCBBE"/>
          <w:insideH w:val="single" w:sz="6" w:space="0" w:color="DFCBBE"/>
          <w:insideV w:val="single" w:sz="6" w:space="0" w:color="DFCBBE"/>
        </w:tblBorders>
        <w:tblLook w:val="04A0" w:firstRow="1" w:lastRow="0" w:firstColumn="1" w:lastColumn="0" w:noHBand="0" w:noVBand="1"/>
      </w:tblPr>
      <w:tblGrid>
        <w:gridCol w:w="2158"/>
        <w:gridCol w:w="6197"/>
        <w:gridCol w:w="5826"/>
      </w:tblGrid>
      <w:tr w:rsidR="001F5B5A" w:rsidRPr="004427E7" w14:paraId="44659270" w14:textId="77777777" w:rsidTr="001F5B5A">
        <w:tc>
          <w:tcPr>
            <w:tcW w:w="761" w:type="pct"/>
            <w:shd w:val="clear" w:color="auto" w:fill="DFCBBE"/>
            <w:vAlign w:val="center"/>
          </w:tcPr>
          <w:p w14:paraId="0628693D"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International Best Practices</w:t>
            </w:r>
          </w:p>
        </w:tc>
        <w:tc>
          <w:tcPr>
            <w:tcW w:w="2185" w:type="pct"/>
            <w:shd w:val="clear" w:color="auto" w:fill="DFCBBE"/>
            <w:vAlign w:val="center"/>
          </w:tcPr>
          <w:p w14:paraId="575A0733" w14:textId="77777777"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Shortcomings/Gaps Identified</w:t>
            </w:r>
          </w:p>
        </w:tc>
        <w:tc>
          <w:tcPr>
            <w:tcW w:w="2054" w:type="pct"/>
            <w:shd w:val="clear" w:color="auto" w:fill="DFCBBE"/>
            <w:vAlign w:val="center"/>
          </w:tcPr>
          <w:p w14:paraId="33D318A7" w14:textId="11CB3901" w:rsidR="001F5B5A" w:rsidRPr="001F5B5A" w:rsidRDefault="001F5B5A" w:rsidP="001F5B5A">
            <w:pPr>
              <w:jc w:val="center"/>
              <w:rPr>
                <w:rFonts w:ascii="Bodoni 72 Book" w:hAnsi="Bodoni 72 Book"/>
                <w:sz w:val="22"/>
                <w:szCs w:val="22"/>
              </w:rPr>
            </w:pPr>
            <w:r w:rsidRPr="001F5B5A">
              <w:rPr>
                <w:rFonts w:ascii="Bodoni 72 Book" w:hAnsi="Bodoni 72 Book"/>
                <w:sz w:val="22"/>
                <w:szCs w:val="22"/>
              </w:rPr>
              <w:t>Recommendations</w:t>
            </w:r>
          </w:p>
        </w:tc>
      </w:tr>
      <w:tr w:rsidR="001F5B5A" w:rsidRPr="0024282A" w14:paraId="3FFDFA04" w14:textId="77777777" w:rsidTr="001F5B5A">
        <w:trPr>
          <w:trHeight w:val="687"/>
        </w:trPr>
        <w:tc>
          <w:tcPr>
            <w:tcW w:w="761" w:type="pct"/>
            <w:shd w:val="clear" w:color="auto" w:fill="FEF1DA"/>
            <w:vAlign w:val="center"/>
          </w:tcPr>
          <w:p w14:paraId="07AFAF61" w14:textId="77777777" w:rsidR="001F5B5A" w:rsidRPr="001F5B5A" w:rsidRDefault="001F5B5A" w:rsidP="001F5B5A">
            <w:pPr>
              <w:rPr>
                <w:rFonts w:ascii="Avenir Next" w:hAnsi="Avenir Next"/>
                <w:sz w:val="20"/>
                <w:szCs w:val="20"/>
              </w:rPr>
            </w:pPr>
            <w:r w:rsidRPr="001F5B5A">
              <w:rPr>
                <w:rFonts w:ascii="Avenir Next" w:hAnsi="Avenir Next"/>
                <w:sz w:val="20"/>
                <w:szCs w:val="20"/>
              </w:rPr>
              <w:t xml:space="preserve">National Context and REDD+ overview </w:t>
            </w:r>
          </w:p>
        </w:tc>
        <w:tc>
          <w:tcPr>
            <w:tcW w:w="2185" w:type="pct"/>
          </w:tcPr>
          <w:p w14:paraId="79E7C3CC" w14:textId="77777777" w:rsidR="001F5B5A" w:rsidRPr="00FE1825" w:rsidRDefault="001F5B5A" w:rsidP="00CE0AF6">
            <w:pPr>
              <w:rPr>
                <w:szCs w:val="22"/>
              </w:rPr>
            </w:pPr>
          </w:p>
        </w:tc>
        <w:tc>
          <w:tcPr>
            <w:tcW w:w="2054" w:type="pct"/>
          </w:tcPr>
          <w:p w14:paraId="4B4F65B7" w14:textId="77777777" w:rsidR="001F5B5A" w:rsidRPr="00FE1825" w:rsidRDefault="001F5B5A" w:rsidP="00CE0AF6">
            <w:pPr>
              <w:rPr>
                <w:szCs w:val="22"/>
              </w:rPr>
            </w:pPr>
          </w:p>
        </w:tc>
      </w:tr>
      <w:tr w:rsidR="001F5B5A" w:rsidRPr="004427E7" w14:paraId="3F0B7FED" w14:textId="77777777" w:rsidTr="001F5B5A">
        <w:trPr>
          <w:trHeight w:val="696"/>
        </w:trPr>
        <w:tc>
          <w:tcPr>
            <w:tcW w:w="761" w:type="pct"/>
            <w:shd w:val="clear" w:color="auto" w:fill="FEF1DA"/>
            <w:vAlign w:val="center"/>
          </w:tcPr>
          <w:p w14:paraId="0D6D51CF" w14:textId="77777777" w:rsidR="001F5B5A" w:rsidRPr="001F5B5A" w:rsidRDefault="001F5B5A" w:rsidP="001F5B5A">
            <w:pPr>
              <w:rPr>
                <w:rFonts w:ascii="Avenir Next" w:hAnsi="Avenir Next"/>
                <w:sz w:val="20"/>
                <w:szCs w:val="20"/>
              </w:rPr>
            </w:pPr>
            <w:r w:rsidRPr="001F5B5A">
              <w:rPr>
                <w:rFonts w:ascii="Avenir Next" w:hAnsi="Avenir Next"/>
                <w:sz w:val="20"/>
                <w:szCs w:val="20"/>
              </w:rPr>
              <w:t>Description of each safeguard</w:t>
            </w:r>
          </w:p>
        </w:tc>
        <w:tc>
          <w:tcPr>
            <w:tcW w:w="2185" w:type="pct"/>
          </w:tcPr>
          <w:p w14:paraId="35E82A52" w14:textId="77777777" w:rsidR="001F5B5A" w:rsidRPr="009A465E" w:rsidRDefault="001F5B5A" w:rsidP="00CE0AF6">
            <w:pPr>
              <w:rPr>
                <w:szCs w:val="22"/>
              </w:rPr>
            </w:pPr>
          </w:p>
        </w:tc>
        <w:tc>
          <w:tcPr>
            <w:tcW w:w="2054" w:type="pct"/>
          </w:tcPr>
          <w:p w14:paraId="26AC6781" w14:textId="77777777" w:rsidR="001F5B5A" w:rsidRPr="00137EB3" w:rsidRDefault="001F5B5A" w:rsidP="00CE0AF6">
            <w:pPr>
              <w:spacing w:before="40" w:after="40"/>
              <w:rPr>
                <w:rFonts w:cs="Arial"/>
                <w:szCs w:val="22"/>
              </w:rPr>
            </w:pPr>
          </w:p>
        </w:tc>
      </w:tr>
      <w:tr w:rsidR="001F5B5A" w:rsidRPr="004427E7" w14:paraId="4C02CFB7" w14:textId="77777777" w:rsidTr="001F5B5A">
        <w:trPr>
          <w:trHeight w:val="435"/>
        </w:trPr>
        <w:tc>
          <w:tcPr>
            <w:tcW w:w="761" w:type="pct"/>
            <w:shd w:val="clear" w:color="auto" w:fill="FEF1DA"/>
            <w:vAlign w:val="center"/>
          </w:tcPr>
          <w:p w14:paraId="37378C8D" w14:textId="77777777" w:rsidR="001F5B5A" w:rsidRPr="001F5B5A" w:rsidRDefault="001F5B5A" w:rsidP="001F5B5A">
            <w:pPr>
              <w:rPr>
                <w:rFonts w:ascii="Avenir Next" w:hAnsi="Avenir Next"/>
                <w:sz w:val="20"/>
                <w:szCs w:val="20"/>
              </w:rPr>
            </w:pPr>
            <w:r w:rsidRPr="001F5B5A">
              <w:rPr>
                <w:rFonts w:ascii="Avenir Next" w:hAnsi="Avenir Next"/>
                <w:sz w:val="20"/>
                <w:szCs w:val="20"/>
              </w:rPr>
              <w:t>Conformance with safeguards</w:t>
            </w:r>
          </w:p>
        </w:tc>
        <w:tc>
          <w:tcPr>
            <w:tcW w:w="2185" w:type="pct"/>
          </w:tcPr>
          <w:p w14:paraId="6917D4D0" w14:textId="77777777" w:rsidR="001F5B5A" w:rsidRPr="004427E7" w:rsidRDefault="001F5B5A" w:rsidP="00CE0AF6">
            <w:pPr>
              <w:rPr>
                <w:szCs w:val="22"/>
              </w:rPr>
            </w:pPr>
          </w:p>
        </w:tc>
        <w:tc>
          <w:tcPr>
            <w:tcW w:w="2054" w:type="pct"/>
          </w:tcPr>
          <w:p w14:paraId="524C165D" w14:textId="77777777" w:rsidR="001F5B5A" w:rsidRPr="004427E7" w:rsidRDefault="001F5B5A" w:rsidP="00CE0AF6">
            <w:pPr>
              <w:rPr>
                <w:szCs w:val="22"/>
              </w:rPr>
            </w:pPr>
          </w:p>
        </w:tc>
      </w:tr>
      <w:tr w:rsidR="001F5B5A" w:rsidRPr="004427E7" w14:paraId="5CC5842C" w14:textId="77777777" w:rsidTr="001F5B5A">
        <w:trPr>
          <w:trHeight w:val="606"/>
        </w:trPr>
        <w:tc>
          <w:tcPr>
            <w:tcW w:w="761" w:type="pct"/>
            <w:shd w:val="clear" w:color="auto" w:fill="FEF1DA"/>
            <w:vAlign w:val="center"/>
          </w:tcPr>
          <w:p w14:paraId="22E788D5" w14:textId="77777777" w:rsidR="001F5B5A" w:rsidRPr="001F5B5A" w:rsidRDefault="001F5B5A" w:rsidP="001F5B5A">
            <w:pPr>
              <w:rPr>
                <w:rFonts w:ascii="Avenir Next" w:hAnsi="Avenir Next"/>
                <w:sz w:val="20"/>
                <w:szCs w:val="20"/>
              </w:rPr>
            </w:pPr>
            <w:r w:rsidRPr="001F5B5A">
              <w:rPr>
                <w:rFonts w:ascii="Avenir Next" w:hAnsi="Avenir Next"/>
                <w:sz w:val="20"/>
                <w:szCs w:val="20"/>
              </w:rPr>
              <w:t>Stakeholder engagement</w:t>
            </w:r>
          </w:p>
        </w:tc>
        <w:tc>
          <w:tcPr>
            <w:tcW w:w="2185" w:type="pct"/>
          </w:tcPr>
          <w:p w14:paraId="277915B1" w14:textId="77777777" w:rsidR="001F5B5A" w:rsidRPr="004427E7" w:rsidRDefault="001F5B5A" w:rsidP="00CE0AF6">
            <w:pPr>
              <w:rPr>
                <w:szCs w:val="22"/>
              </w:rPr>
            </w:pPr>
          </w:p>
        </w:tc>
        <w:tc>
          <w:tcPr>
            <w:tcW w:w="2054" w:type="pct"/>
          </w:tcPr>
          <w:p w14:paraId="6B41F79F" w14:textId="77777777" w:rsidR="001F5B5A" w:rsidRPr="004427E7" w:rsidRDefault="001F5B5A" w:rsidP="00CE0AF6">
            <w:pPr>
              <w:rPr>
                <w:szCs w:val="22"/>
              </w:rPr>
            </w:pPr>
          </w:p>
        </w:tc>
      </w:tr>
      <w:tr w:rsidR="001F5B5A" w:rsidRPr="004427E7" w14:paraId="2556927F" w14:textId="77777777" w:rsidTr="001F5B5A">
        <w:trPr>
          <w:trHeight w:val="444"/>
        </w:trPr>
        <w:tc>
          <w:tcPr>
            <w:tcW w:w="761" w:type="pct"/>
            <w:shd w:val="clear" w:color="auto" w:fill="FEF1DA"/>
            <w:vAlign w:val="center"/>
          </w:tcPr>
          <w:p w14:paraId="206C7E1A" w14:textId="77777777" w:rsidR="001F5B5A" w:rsidRPr="001F5B5A" w:rsidRDefault="001F5B5A" w:rsidP="001F5B5A">
            <w:pPr>
              <w:rPr>
                <w:rFonts w:ascii="Avenir Next" w:hAnsi="Avenir Next"/>
                <w:sz w:val="20"/>
                <w:szCs w:val="20"/>
              </w:rPr>
            </w:pPr>
            <w:r w:rsidRPr="001F5B5A">
              <w:rPr>
                <w:rFonts w:ascii="Avenir Next" w:hAnsi="Avenir Next"/>
                <w:sz w:val="20"/>
                <w:szCs w:val="20"/>
              </w:rPr>
              <w:t xml:space="preserve">General </w:t>
            </w:r>
          </w:p>
        </w:tc>
        <w:tc>
          <w:tcPr>
            <w:tcW w:w="2185" w:type="pct"/>
          </w:tcPr>
          <w:p w14:paraId="7D2E776B" w14:textId="77777777" w:rsidR="001F5B5A" w:rsidRPr="004427E7" w:rsidRDefault="001F5B5A" w:rsidP="00CE0AF6">
            <w:pPr>
              <w:rPr>
                <w:szCs w:val="22"/>
              </w:rPr>
            </w:pPr>
          </w:p>
        </w:tc>
        <w:tc>
          <w:tcPr>
            <w:tcW w:w="2054" w:type="pct"/>
          </w:tcPr>
          <w:p w14:paraId="7AA84B1D" w14:textId="77777777" w:rsidR="001F5B5A" w:rsidRPr="004427E7" w:rsidRDefault="001F5B5A" w:rsidP="00CE0AF6">
            <w:pPr>
              <w:rPr>
                <w:szCs w:val="22"/>
              </w:rPr>
            </w:pPr>
          </w:p>
        </w:tc>
      </w:tr>
    </w:tbl>
    <w:p w14:paraId="48059AFB" w14:textId="23C68F26" w:rsidR="000A62EE" w:rsidRPr="001F5B5A" w:rsidRDefault="000A62EE" w:rsidP="001F5B5A">
      <w:pPr>
        <w:spacing w:before="120" w:after="120" w:line="336" w:lineRule="auto"/>
        <w:rPr>
          <w:rFonts w:ascii="IBM Plex Sans" w:eastAsia="IBM Plex Sans" w:hAnsi="IBM Plex Sans" w:cs="IBM Plex Sans"/>
          <w:color w:val="000000"/>
        </w:rPr>
      </w:pPr>
    </w:p>
    <w:sectPr w:rsidR="000A62EE" w:rsidRPr="001F5B5A" w:rsidSect="00CB0972">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07B85" w14:textId="77777777" w:rsidR="00CB0972" w:rsidRDefault="00CB0972" w:rsidP="00662E3F">
      <w:r>
        <w:separator/>
      </w:r>
    </w:p>
  </w:endnote>
  <w:endnote w:type="continuationSeparator" w:id="0">
    <w:p w14:paraId="6F5E6333" w14:textId="77777777" w:rsidR="00CB0972" w:rsidRDefault="00CB0972" w:rsidP="0066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7A58FCA-AABE-B146-90A3-F3056478E209}"/>
  </w:font>
  <w:font w:name="Times New Roman">
    <w:panose1 w:val="02020603050405020304"/>
    <w:charset w:val="00"/>
    <w:family w:val="roman"/>
    <w:pitch w:val="variable"/>
    <w:sig w:usb0="E0002EFF" w:usb1="C000785B" w:usb2="00000009" w:usb3="00000000" w:csb0="000001FF" w:csb1="00000000"/>
    <w:embedRegular r:id="rId2" w:fontKey="{2DBD634C-FB48-464B-8DA3-D44F15886F88}"/>
    <w:embedBold r:id="rId3" w:fontKey="{CBB477D7-CE15-E74D-B7BF-AD9F1227B555}"/>
  </w:font>
  <w:font w:name="Courier New">
    <w:panose1 w:val="02070309020205020404"/>
    <w:charset w:val="00"/>
    <w:family w:val="modern"/>
    <w:pitch w:val="fixed"/>
    <w:sig w:usb0="E0002AFF" w:usb1="C0007843" w:usb2="00000009" w:usb3="00000000" w:csb0="000001FF" w:csb1="00000000"/>
    <w:embedRegular r:id="rId4" w:fontKey="{F2397427-D609-3B43-900D-3C00029548F6}"/>
  </w:font>
  <w:font w:name="Wingdings">
    <w:panose1 w:val="05000000000000000000"/>
    <w:charset w:val="4D"/>
    <w:family w:val="decorative"/>
    <w:pitch w:val="variable"/>
    <w:sig w:usb0="00000003" w:usb1="00000000" w:usb2="00000000" w:usb3="00000000" w:csb0="80000001" w:csb1="00000000"/>
    <w:embedRegular r:id="rId5" w:fontKey="{77834A56-E260-4649-820E-A6BC4F23AD68}"/>
  </w:font>
  <w:font w:name="Calibri">
    <w:panose1 w:val="020F0502020204030204"/>
    <w:charset w:val="00"/>
    <w:family w:val="swiss"/>
    <w:pitch w:val="variable"/>
    <w:sig w:usb0="E4002EFF" w:usb1="C200247B" w:usb2="00000009" w:usb3="00000000" w:csb0="000001FF" w:csb1="00000000"/>
    <w:embedRegular r:id="rId6" w:fontKey="{3B20DDC6-60FA-DE48-92D8-F1D98E9C4C84}"/>
    <w:embedBold r:id="rId7" w:fontKey="{85B566CB-DE9F-6E4D-B687-529D0989368B}"/>
  </w:font>
  <w:font w:name="Bodoni 72 Book">
    <w:altName w:val="BODONI 72 BOOK"/>
    <w:panose1 w:val="00000400000000000000"/>
    <w:charset w:val="00"/>
    <w:family w:val="auto"/>
    <w:pitch w:val="variable"/>
    <w:sig w:usb0="00000003" w:usb1="00000000" w:usb2="00000000" w:usb3="00000000" w:csb0="00000001" w:csb1="00000000"/>
    <w:embedRegular r:id="rId8" w:fontKey="{8D6D0994-BBB2-C64E-A72D-8462B0D05A7F}"/>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0" w:fontKey="{EFCF5A09-72EA-6645-8A78-99395459A24B}"/>
    <w:embedBold r:id="rId11" w:fontKey="{B116493E-64D5-BE42-857F-B82764EF8F45}"/>
  </w:font>
  <w:font w:name="Montserrat">
    <w:panose1 w:val="00000500000000000000"/>
    <w:charset w:val="4D"/>
    <w:family w:val="auto"/>
    <w:pitch w:val="variable"/>
    <w:sig w:usb0="2000020F" w:usb1="00000003" w:usb2="00000000" w:usb3="00000000" w:csb0="00000197" w:csb1="00000000"/>
    <w:embedRegular r:id="rId12" w:fontKey="{AA149264-A35E-874E-B302-FD1B8393AEAD}"/>
    <w:embedBold r:id="rId13" w:fontKey="{191F5A15-15DE-164A-B72D-8D9FB4D047F4}"/>
  </w:font>
  <w:font w:name="IBM Plex Sans">
    <w:panose1 w:val="020B0503050203000203"/>
    <w:charset w:val="00"/>
    <w:family w:val="swiss"/>
    <w:pitch w:val="variable"/>
    <w:sig w:usb0="A00002EF" w:usb1="5000207B" w:usb2="00000000" w:usb3="00000000" w:csb0="0000019F" w:csb1="00000000"/>
    <w:embedRegular r:id="rId14" w:fontKey="{0CEEB87C-C41B-594C-A5B6-BD80BEE1715F}"/>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6" w:fontKey="{20A43838-24D3-6D46-8182-F1F97098D197}"/>
  </w:font>
  <w:font w:name="Arial">
    <w:panose1 w:val="020B0604020202020204"/>
    <w:charset w:val="00"/>
    <w:family w:val="swiss"/>
    <w:pitch w:val="variable"/>
    <w:sig w:usb0="E0002AFF" w:usb1="C0007843" w:usb2="00000009" w:usb3="00000000" w:csb0="000001FF" w:csb1="00000000"/>
    <w:embedRegular r:id="rId17" w:fontKey="{FA747030-E48C-E74C-9563-0C93E0FF4862}"/>
  </w:font>
  <w:font w:name="Calibri Light">
    <w:panose1 w:val="020F0302020204030204"/>
    <w:charset w:val="00"/>
    <w:family w:val="swiss"/>
    <w:pitch w:val="variable"/>
    <w:sig w:usb0="E4002EFF" w:usb1="C200247B" w:usb2="00000009" w:usb3="00000000" w:csb0="000001FF" w:csb1="00000000"/>
    <w:embedRegular r:id="rId18" w:fontKey="{A9F652D1-5C96-8645-846A-19FC2BCB4C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B6ADF" w14:textId="77777777" w:rsidR="00CB0972" w:rsidRDefault="00CB0972" w:rsidP="00662E3F">
      <w:r>
        <w:separator/>
      </w:r>
    </w:p>
  </w:footnote>
  <w:footnote w:type="continuationSeparator" w:id="0">
    <w:p w14:paraId="64CA4997" w14:textId="77777777" w:rsidR="00CB0972" w:rsidRDefault="00CB0972" w:rsidP="00662E3F">
      <w:r>
        <w:continuationSeparator/>
      </w:r>
    </w:p>
  </w:footnote>
  <w:footnote w:id="1">
    <w:p w14:paraId="144F84EF" w14:textId="6F78FE01" w:rsidR="00662E3F" w:rsidRPr="00662E3F" w:rsidRDefault="00662E3F">
      <w:pPr>
        <w:pStyle w:val="FootnoteText"/>
        <w:rPr>
          <w:rFonts w:ascii="Avenir Next" w:hAnsi="Avenir Next"/>
          <w:sz w:val="14"/>
          <w:szCs w:val="14"/>
        </w:rPr>
      </w:pPr>
      <w:r w:rsidRPr="00662E3F">
        <w:rPr>
          <w:rStyle w:val="FootnoteReference"/>
          <w:rFonts w:ascii="Avenir Next" w:hAnsi="Avenir Next"/>
          <w:sz w:val="14"/>
          <w:szCs w:val="14"/>
        </w:rPr>
        <w:footnoteRef/>
      </w:r>
      <w:r w:rsidRPr="00662E3F">
        <w:rPr>
          <w:rFonts w:ascii="Avenir Next" w:hAnsi="Avenir Next"/>
          <w:sz w:val="14"/>
          <w:szCs w:val="14"/>
        </w:rPr>
        <w:t xml:space="preserve"> UNFCCC Decision 9/CP, Paragraph 4; Decision 2/CP.17, Paragraph 63 and 64; Decision 12/CP.17 paragraph 3 and 4.</w:t>
      </w:r>
    </w:p>
  </w:footnote>
  <w:footnote w:id="2">
    <w:p w14:paraId="7C8CF347" w14:textId="7A485459" w:rsidR="00662E3F" w:rsidRPr="00662E3F" w:rsidRDefault="00662E3F">
      <w:pPr>
        <w:pStyle w:val="FootnoteText"/>
        <w:rPr>
          <w:rFonts w:ascii="Avenir Next" w:hAnsi="Avenir Next"/>
          <w:sz w:val="14"/>
          <w:szCs w:val="14"/>
        </w:rPr>
      </w:pPr>
      <w:r w:rsidRPr="00662E3F">
        <w:rPr>
          <w:rStyle w:val="FootnoteReference"/>
          <w:rFonts w:ascii="Avenir Next" w:hAnsi="Avenir Next"/>
          <w:sz w:val="14"/>
          <w:szCs w:val="14"/>
        </w:rPr>
        <w:footnoteRef/>
      </w:r>
      <w:r w:rsidRPr="00662E3F">
        <w:rPr>
          <w:rFonts w:ascii="Avenir Next" w:hAnsi="Avenir Next"/>
          <w:sz w:val="14"/>
          <w:szCs w:val="14"/>
        </w:rPr>
        <w:t xml:space="preserve"> UNFCCC decision 17/CP.2</w:t>
      </w:r>
      <w:proofErr w:type="gramStart"/>
      <w:r w:rsidRPr="00662E3F">
        <w:rPr>
          <w:rFonts w:ascii="Avenir Next" w:hAnsi="Avenir Next"/>
          <w:sz w:val="14"/>
          <w:szCs w:val="14"/>
        </w:rPr>
        <w:t>. ,</w:t>
      </w:r>
      <w:proofErr w:type="gramEnd"/>
      <w:r w:rsidRPr="00662E3F">
        <w:rPr>
          <w:rFonts w:ascii="Avenir Next" w:hAnsi="Avenir Next"/>
          <w:sz w:val="14"/>
          <w:szCs w:val="14"/>
        </w:rPr>
        <w:t xml:space="preserve"> requires the full and effective participation of relevant stakeholders, inter alia indigenous peoples and local communities; when developing and implementing national strategies or action plans, to address, inter alia, the drivers of deforestation and forest degradation, land tenure issues, forest governance issues, gender considerations and the UNFCCC safeguards.</w:t>
      </w:r>
    </w:p>
  </w:footnote>
  <w:footnote w:id="3">
    <w:p w14:paraId="110832A3" w14:textId="2C994ADC" w:rsidR="00662E3F" w:rsidRPr="00662E3F" w:rsidRDefault="00662E3F">
      <w:pPr>
        <w:pStyle w:val="FootnoteText"/>
      </w:pPr>
      <w:r w:rsidRPr="00662E3F">
        <w:rPr>
          <w:rStyle w:val="FootnoteReference"/>
          <w:rFonts w:ascii="Avenir Next" w:hAnsi="Avenir Next"/>
          <w:sz w:val="14"/>
          <w:szCs w:val="14"/>
        </w:rPr>
        <w:footnoteRef/>
      </w:r>
      <w:r w:rsidRPr="00662E3F">
        <w:rPr>
          <w:rFonts w:ascii="Avenir Next" w:hAnsi="Avenir Next"/>
          <w:sz w:val="14"/>
          <w:szCs w:val="14"/>
        </w:rPr>
        <w:t xml:space="preserve"> </w:t>
      </w:r>
      <w:proofErr w:type="spellStart"/>
      <w:r w:rsidRPr="00662E3F">
        <w:rPr>
          <w:rFonts w:ascii="Avenir Next" w:hAnsi="Avenir Next"/>
          <w:sz w:val="14"/>
          <w:szCs w:val="14"/>
        </w:rPr>
        <w:t>Braña</w:t>
      </w:r>
      <w:proofErr w:type="spellEnd"/>
      <w:r w:rsidRPr="00662E3F">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 Available at www.merid.org/reddsafeguards.</w:t>
      </w:r>
      <w:r w:rsidRPr="005A42F1">
        <w:rPr>
          <w:sz w:val="16"/>
          <w:szCs w:val="16"/>
        </w:rPr>
        <w:t xml:space="preserve"> </w:t>
      </w:r>
    </w:p>
  </w:footnote>
  <w:footnote w:id="4">
    <w:p w14:paraId="13A00177" w14:textId="556C7AEF" w:rsidR="00662E3F" w:rsidRPr="00662E3F" w:rsidRDefault="00662E3F">
      <w:pPr>
        <w:pStyle w:val="FootnoteText"/>
        <w:rPr>
          <w:rFonts w:ascii="Avenir Next" w:hAnsi="Avenir Next"/>
          <w:sz w:val="14"/>
          <w:szCs w:val="14"/>
          <w:lang w:val="en-GB"/>
        </w:rPr>
      </w:pPr>
      <w:r w:rsidRPr="00662E3F">
        <w:rPr>
          <w:rStyle w:val="FootnoteReference"/>
          <w:rFonts w:ascii="Avenir Next" w:hAnsi="Avenir Next"/>
          <w:sz w:val="14"/>
          <w:szCs w:val="14"/>
        </w:rPr>
        <w:footnoteRef/>
      </w:r>
      <w:r w:rsidRPr="00662E3F">
        <w:rPr>
          <w:rFonts w:ascii="Avenir Next" w:hAnsi="Avenir Next"/>
          <w:sz w:val="14"/>
          <w:szCs w:val="14"/>
        </w:rPr>
        <w:t xml:space="preserve"> UNFCCC Decision 12/CP17</w:t>
      </w:r>
    </w:p>
  </w:footnote>
  <w:footnote w:id="5">
    <w:p w14:paraId="487BB724" w14:textId="513913D2" w:rsidR="00662E3F" w:rsidRPr="00662E3F" w:rsidRDefault="00662E3F">
      <w:pPr>
        <w:pStyle w:val="FootnoteText"/>
        <w:rPr>
          <w:rFonts w:ascii="Avenir Next" w:hAnsi="Avenir Next"/>
          <w:sz w:val="14"/>
          <w:szCs w:val="14"/>
          <w:lang w:val="en-GB"/>
        </w:rPr>
      </w:pPr>
      <w:r w:rsidRPr="00662E3F">
        <w:rPr>
          <w:rStyle w:val="FootnoteReference"/>
          <w:rFonts w:ascii="Avenir Next" w:hAnsi="Avenir Next"/>
          <w:sz w:val="14"/>
          <w:szCs w:val="14"/>
        </w:rPr>
        <w:footnoteRef/>
      </w:r>
      <w:r w:rsidRPr="00662E3F">
        <w:rPr>
          <w:rFonts w:ascii="Avenir Next" w:hAnsi="Avenir Next"/>
          <w:sz w:val="14"/>
          <w:szCs w:val="14"/>
        </w:rPr>
        <w:t xml:space="preserve"> </w:t>
      </w:r>
      <w:r w:rsidRPr="00662E3F">
        <w:rPr>
          <w:rFonts w:ascii="Avenir Next" w:hAnsi="Avenir Next"/>
          <w:sz w:val="14"/>
          <w:szCs w:val="14"/>
          <w:lang w:val="en-GB"/>
        </w:rPr>
        <w:t xml:space="preserve"> </w:t>
      </w:r>
      <w:r w:rsidRPr="00662E3F">
        <w:rPr>
          <w:rFonts w:ascii="Avenir Next" w:hAnsi="Avenir Next"/>
          <w:sz w:val="14"/>
          <w:szCs w:val="14"/>
        </w:rPr>
        <w:t>FCCC/SBSTA/2013/3/Add.1</w:t>
      </w:r>
    </w:p>
  </w:footnote>
  <w:footnote w:id="6">
    <w:p w14:paraId="3B0EFC72" w14:textId="3BFC0842" w:rsidR="00662E3F" w:rsidRPr="00662E3F" w:rsidRDefault="00662E3F">
      <w:pPr>
        <w:pStyle w:val="FootnoteText"/>
        <w:rPr>
          <w:rFonts w:ascii="Avenir Next" w:hAnsi="Avenir Next"/>
          <w:sz w:val="14"/>
          <w:szCs w:val="14"/>
        </w:rPr>
      </w:pPr>
      <w:r w:rsidRPr="00662E3F">
        <w:rPr>
          <w:rStyle w:val="FootnoteReference"/>
          <w:rFonts w:ascii="Avenir Next" w:hAnsi="Avenir Next"/>
          <w:sz w:val="14"/>
          <w:szCs w:val="14"/>
        </w:rPr>
        <w:footnoteRef/>
      </w:r>
      <w:r w:rsidRPr="00662E3F">
        <w:rPr>
          <w:rFonts w:ascii="Avenir Next" w:hAnsi="Avenir Next"/>
          <w:sz w:val="14"/>
          <w:szCs w:val="14"/>
          <w:lang w:val="en-GB"/>
        </w:rPr>
        <w:t xml:space="preserve"> </w:t>
      </w:r>
      <w:proofErr w:type="spellStart"/>
      <w:r w:rsidRPr="00662E3F">
        <w:rPr>
          <w:rFonts w:ascii="Avenir Next" w:hAnsi="Avenir Next"/>
          <w:sz w:val="14"/>
          <w:szCs w:val="14"/>
        </w:rPr>
        <w:t>Braña</w:t>
      </w:r>
      <w:proofErr w:type="spellEnd"/>
      <w:r w:rsidRPr="00662E3F">
        <w:rPr>
          <w:rFonts w:ascii="Avenir Next" w:hAnsi="Avenir Next"/>
          <w:sz w:val="14"/>
          <w:szCs w:val="14"/>
        </w:rPr>
        <w:t xml:space="preserve"> Varela, J., Lee, D., Rey Christen, D., and Swan, S. 2014. “REDD+ Safeguards: Practical Considerations for Developing a Summary of Information.” Prepared with support from the Government of Norway’s International Climate and Forest Initiative. Available at www.merid.org/reddsafeguards.</w:t>
      </w:r>
    </w:p>
  </w:footnote>
  <w:footnote w:id="7">
    <w:p w14:paraId="69C69DAD" w14:textId="73545B12" w:rsidR="00662E3F" w:rsidRPr="00662E3F" w:rsidRDefault="00662E3F">
      <w:pPr>
        <w:pStyle w:val="FootnoteText"/>
        <w:rPr>
          <w:lang w:val="en-GB"/>
        </w:rPr>
      </w:pPr>
      <w:r w:rsidRPr="00662E3F">
        <w:rPr>
          <w:rStyle w:val="FootnoteReference"/>
          <w:rFonts w:ascii="Avenir Next" w:hAnsi="Avenir Next"/>
          <w:sz w:val="14"/>
          <w:szCs w:val="14"/>
        </w:rPr>
        <w:footnoteRef/>
      </w:r>
      <w:r w:rsidRPr="00662E3F">
        <w:rPr>
          <w:rFonts w:ascii="Avenir Next" w:hAnsi="Avenir Next"/>
          <w:sz w:val="14"/>
          <w:szCs w:val="14"/>
        </w:rPr>
        <w:t xml:space="preserve"> UN-REDD </w:t>
      </w:r>
      <w:proofErr w:type="spellStart"/>
      <w:r w:rsidRPr="00662E3F">
        <w:rPr>
          <w:rFonts w:ascii="Avenir Next" w:hAnsi="Avenir Next"/>
          <w:sz w:val="14"/>
          <w:szCs w:val="14"/>
        </w:rPr>
        <w:t>programme</w:t>
      </w:r>
      <w:proofErr w:type="spellEnd"/>
      <w:r w:rsidRPr="00662E3F">
        <w:rPr>
          <w:rFonts w:ascii="Avenir Next" w:hAnsi="Avenir Next"/>
          <w:sz w:val="14"/>
          <w:szCs w:val="14"/>
        </w:rPr>
        <w:t xml:space="preserve"> </w:t>
      </w:r>
      <w:proofErr w:type="spellStart"/>
      <w:r w:rsidRPr="00662E3F">
        <w:rPr>
          <w:rFonts w:ascii="Avenir Next" w:hAnsi="Avenir Next"/>
          <w:sz w:val="14"/>
          <w:szCs w:val="14"/>
        </w:rPr>
        <w:t>infobrief</w:t>
      </w:r>
      <w:proofErr w:type="spellEnd"/>
      <w:r w:rsidRPr="00662E3F">
        <w:rPr>
          <w:rFonts w:ascii="Avenir Next" w:hAnsi="Avenir Next"/>
          <w:sz w:val="14"/>
          <w:szCs w:val="14"/>
        </w:rPr>
        <w:t xml:space="preserve">, Summaries of Information: Initial experiences and Recommendations on International </w:t>
      </w:r>
      <w:proofErr w:type="spellStart"/>
      <w:r w:rsidRPr="00662E3F">
        <w:rPr>
          <w:rFonts w:ascii="Avenir Next" w:hAnsi="Avenir Next"/>
          <w:sz w:val="14"/>
          <w:szCs w:val="14"/>
        </w:rPr>
        <w:t>redd</w:t>
      </w:r>
      <w:proofErr w:type="spellEnd"/>
      <w:r w:rsidRPr="00662E3F">
        <w:rPr>
          <w:rFonts w:ascii="Avenir Next" w:hAnsi="Avenir Next"/>
          <w:sz w:val="14"/>
          <w:szCs w:val="14"/>
        </w:rPr>
        <w:t xml:space="preserve">+ Safeguards reporting. Available at: </w:t>
      </w:r>
      <w:hyperlink r:id="rId1" w:history="1">
        <w:r w:rsidRPr="00662E3F">
          <w:rPr>
            <w:rStyle w:val="Hyperlink"/>
            <w:rFonts w:ascii="Avenir Next" w:hAnsi="Avenir Next"/>
            <w:sz w:val="14"/>
            <w:szCs w:val="14"/>
          </w:rPr>
          <w:t>https://www.un-redd.org/sites/default/files/2021-10/InfoBrief__Summaries_of_information_30Sep%20%28735777%29.pdf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EF7"/>
    <w:multiLevelType w:val="hybridMultilevel"/>
    <w:tmpl w:val="28D2584A"/>
    <w:lvl w:ilvl="0" w:tplc="6BA400DE">
      <w:start w:val="1"/>
      <w:numFmt w:val="bullet"/>
      <w:lvlText w:val=""/>
      <w:lvlJc w:val="left"/>
      <w:pPr>
        <w:ind w:left="400" w:hanging="360"/>
      </w:pPr>
      <w:rPr>
        <w:rFonts w:ascii="Symbol" w:hAnsi="Symbol"/>
      </w:rPr>
    </w:lvl>
    <w:lvl w:ilvl="1" w:tplc="A358E338">
      <w:start w:val="1"/>
      <w:numFmt w:val="bullet"/>
      <w:lvlText w:val="o"/>
      <w:lvlJc w:val="left"/>
      <w:pPr>
        <w:ind w:left="800" w:hanging="360"/>
      </w:pPr>
      <w:rPr>
        <w:rFonts w:ascii="Courier New" w:hAnsi="Courier New"/>
      </w:rPr>
    </w:lvl>
    <w:lvl w:ilvl="2" w:tplc="8F1CB118">
      <w:start w:val="1"/>
      <w:numFmt w:val="bullet"/>
      <w:lvlText w:val=""/>
      <w:lvlJc w:val="left"/>
      <w:pPr>
        <w:ind w:left="1200" w:hanging="360"/>
      </w:pPr>
      <w:rPr>
        <w:rFonts w:ascii="Wingdings" w:hAnsi="Wingdings"/>
      </w:rPr>
    </w:lvl>
    <w:lvl w:ilvl="3" w:tplc="9290182A">
      <w:start w:val="1"/>
      <w:numFmt w:val="bullet"/>
      <w:lvlText w:val=""/>
      <w:lvlJc w:val="left"/>
      <w:pPr>
        <w:ind w:left="1600" w:hanging="360"/>
      </w:pPr>
      <w:rPr>
        <w:rFonts w:ascii="Symbol" w:hAnsi="Symbol"/>
      </w:rPr>
    </w:lvl>
    <w:lvl w:ilvl="4" w:tplc="5136070A">
      <w:start w:val="1"/>
      <w:numFmt w:val="bullet"/>
      <w:lvlText w:val="o"/>
      <w:lvlJc w:val="left"/>
      <w:pPr>
        <w:ind w:left="2000" w:hanging="360"/>
      </w:pPr>
      <w:rPr>
        <w:rFonts w:ascii="Courier New" w:hAnsi="Courier New"/>
      </w:rPr>
    </w:lvl>
    <w:lvl w:ilvl="5" w:tplc="7EA89A06">
      <w:start w:val="1"/>
      <w:numFmt w:val="bullet"/>
      <w:lvlText w:val=""/>
      <w:lvlJc w:val="left"/>
      <w:pPr>
        <w:ind w:left="2400" w:hanging="360"/>
      </w:pPr>
      <w:rPr>
        <w:rFonts w:ascii="Wingdings" w:hAnsi="Wingdings"/>
      </w:rPr>
    </w:lvl>
    <w:lvl w:ilvl="6" w:tplc="57E2DB4C">
      <w:start w:val="1"/>
      <w:numFmt w:val="bullet"/>
      <w:lvlText w:val=""/>
      <w:lvlJc w:val="left"/>
      <w:pPr>
        <w:ind w:left="2800" w:hanging="360"/>
      </w:pPr>
      <w:rPr>
        <w:rFonts w:ascii="Symbol" w:hAnsi="Symbol"/>
      </w:rPr>
    </w:lvl>
    <w:lvl w:ilvl="7" w:tplc="6D4C5D16">
      <w:start w:val="1"/>
      <w:numFmt w:val="bullet"/>
      <w:lvlText w:val="o"/>
      <w:lvlJc w:val="left"/>
      <w:pPr>
        <w:ind w:left="3200" w:hanging="360"/>
      </w:pPr>
      <w:rPr>
        <w:rFonts w:ascii="Courier New" w:hAnsi="Courier New"/>
      </w:rPr>
    </w:lvl>
    <w:lvl w:ilvl="8" w:tplc="864A598A">
      <w:numFmt w:val="decimal"/>
      <w:lvlText w:val=""/>
      <w:lvlJc w:val="left"/>
    </w:lvl>
  </w:abstractNum>
  <w:abstractNum w:abstractNumId="1" w15:restartNumberingAfterBreak="0">
    <w:nsid w:val="05C038DE"/>
    <w:multiLevelType w:val="hybridMultilevel"/>
    <w:tmpl w:val="DB8E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63124"/>
    <w:multiLevelType w:val="hybridMultilevel"/>
    <w:tmpl w:val="866672BA"/>
    <w:lvl w:ilvl="0" w:tplc="BAA6F8C8">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20FE3"/>
    <w:multiLevelType w:val="hybridMultilevel"/>
    <w:tmpl w:val="4B7C4B2C"/>
    <w:lvl w:ilvl="0" w:tplc="4A8C315C">
      <w:start w:val="1"/>
      <w:numFmt w:val="bullet"/>
      <w:lvlText w:val=""/>
      <w:lvlJc w:val="left"/>
      <w:pPr>
        <w:ind w:left="400" w:hanging="360"/>
      </w:pPr>
      <w:rPr>
        <w:rFonts w:ascii="Symbol" w:hAnsi="Symbol"/>
      </w:rPr>
    </w:lvl>
    <w:lvl w:ilvl="1" w:tplc="E18687B6">
      <w:start w:val="1"/>
      <w:numFmt w:val="bullet"/>
      <w:lvlText w:val="o"/>
      <w:lvlJc w:val="left"/>
      <w:pPr>
        <w:ind w:left="800" w:hanging="360"/>
      </w:pPr>
      <w:rPr>
        <w:rFonts w:ascii="Courier New" w:hAnsi="Courier New"/>
      </w:rPr>
    </w:lvl>
    <w:lvl w:ilvl="2" w:tplc="C17C4854">
      <w:start w:val="1"/>
      <w:numFmt w:val="bullet"/>
      <w:lvlText w:val=""/>
      <w:lvlJc w:val="left"/>
      <w:pPr>
        <w:ind w:left="1200" w:hanging="360"/>
      </w:pPr>
      <w:rPr>
        <w:rFonts w:ascii="Wingdings" w:hAnsi="Wingdings"/>
      </w:rPr>
    </w:lvl>
    <w:lvl w:ilvl="3" w:tplc="52AE44AE">
      <w:start w:val="1"/>
      <w:numFmt w:val="bullet"/>
      <w:lvlText w:val=""/>
      <w:lvlJc w:val="left"/>
      <w:pPr>
        <w:ind w:left="1600" w:hanging="360"/>
      </w:pPr>
      <w:rPr>
        <w:rFonts w:ascii="Symbol" w:hAnsi="Symbol"/>
      </w:rPr>
    </w:lvl>
    <w:lvl w:ilvl="4" w:tplc="251AC840">
      <w:start w:val="1"/>
      <w:numFmt w:val="bullet"/>
      <w:lvlText w:val="o"/>
      <w:lvlJc w:val="left"/>
      <w:pPr>
        <w:ind w:left="2000" w:hanging="360"/>
      </w:pPr>
      <w:rPr>
        <w:rFonts w:ascii="Courier New" w:hAnsi="Courier New"/>
      </w:rPr>
    </w:lvl>
    <w:lvl w:ilvl="5" w:tplc="EA624B5A">
      <w:start w:val="1"/>
      <w:numFmt w:val="bullet"/>
      <w:lvlText w:val=""/>
      <w:lvlJc w:val="left"/>
      <w:pPr>
        <w:ind w:left="2400" w:hanging="360"/>
      </w:pPr>
      <w:rPr>
        <w:rFonts w:ascii="Wingdings" w:hAnsi="Wingdings"/>
      </w:rPr>
    </w:lvl>
    <w:lvl w:ilvl="6" w:tplc="15304B64">
      <w:start w:val="1"/>
      <w:numFmt w:val="bullet"/>
      <w:lvlText w:val=""/>
      <w:lvlJc w:val="left"/>
      <w:pPr>
        <w:ind w:left="2800" w:hanging="360"/>
      </w:pPr>
      <w:rPr>
        <w:rFonts w:ascii="Symbol" w:hAnsi="Symbol"/>
      </w:rPr>
    </w:lvl>
    <w:lvl w:ilvl="7" w:tplc="9F7849DE">
      <w:start w:val="1"/>
      <w:numFmt w:val="bullet"/>
      <w:lvlText w:val="o"/>
      <w:lvlJc w:val="left"/>
      <w:pPr>
        <w:ind w:left="3200" w:hanging="360"/>
      </w:pPr>
      <w:rPr>
        <w:rFonts w:ascii="Courier New" w:hAnsi="Courier New"/>
      </w:rPr>
    </w:lvl>
    <w:lvl w:ilvl="8" w:tplc="1EEEFEFA">
      <w:numFmt w:val="decimal"/>
      <w:lvlText w:val=""/>
      <w:lvlJc w:val="left"/>
    </w:lvl>
  </w:abstractNum>
  <w:abstractNum w:abstractNumId="4" w15:restartNumberingAfterBreak="0">
    <w:nsid w:val="29BE145C"/>
    <w:multiLevelType w:val="hybridMultilevel"/>
    <w:tmpl w:val="71204CFE"/>
    <w:lvl w:ilvl="0" w:tplc="05DACF9A">
      <w:start w:val="1"/>
      <w:numFmt w:val="bullet"/>
      <w:lvlText w:val=""/>
      <w:lvlJc w:val="left"/>
      <w:pPr>
        <w:ind w:left="400" w:hanging="360"/>
      </w:pPr>
      <w:rPr>
        <w:rFonts w:ascii="Symbol" w:hAnsi="Symbol"/>
      </w:rPr>
    </w:lvl>
    <w:lvl w:ilvl="1" w:tplc="F68CE8CE">
      <w:start w:val="1"/>
      <w:numFmt w:val="bullet"/>
      <w:lvlText w:val="o"/>
      <w:lvlJc w:val="left"/>
      <w:pPr>
        <w:ind w:left="800" w:hanging="360"/>
      </w:pPr>
      <w:rPr>
        <w:rFonts w:ascii="Courier New" w:hAnsi="Courier New"/>
      </w:rPr>
    </w:lvl>
    <w:lvl w:ilvl="2" w:tplc="B36CE6C8">
      <w:start w:val="1"/>
      <w:numFmt w:val="bullet"/>
      <w:lvlText w:val=""/>
      <w:lvlJc w:val="left"/>
      <w:pPr>
        <w:ind w:left="1200" w:hanging="360"/>
      </w:pPr>
      <w:rPr>
        <w:rFonts w:ascii="Wingdings" w:hAnsi="Wingdings"/>
      </w:rPr>
    </w:lvl>
    <w:lvl w:ilvl="3" w:tplc="106A1ECC">
      <w:start w:val="1"/>
      <w:numFmt w:val="bullet"/>
      <w:lvlText w:val=""/>
      <w:lvlJc w:val="left"/>
      <w:pPr>
        <w:ind w:left="1600" w:hanging="360"/>
      </w:pPr>
      <w:rPr>
        <w:rFonts w:ascii="Symbol" w:hAnsi="Symbol"/>
      </w:rPr>
    </w:lvl>
    <w:lvl w:ilvl="4" w:tplc="D93EC05A">
      <w:start w:val="1"/>
      <w:numFmt w:val="bullet"/>
      <w:lvlText w:val="o"/>
      <w:lvlJc w:val="left"/>
      <w:pPr>
        <w:ind w:left="2000" w:hanging="360"/>
      </w:pPr>
      <w:rPr>
        <w:rFonts w:ascii="Courier New" w:hAnsi="Courier New"/>
      </w:rPr>
    </w:lvl>
    <w:lvl w:ilvl="5" w:tplc="D6E24850">
      <w:start w:val="1"/>
      <w:numFmt w:val="bullet"/>
      <w:lvlText w:val=""/>
      <w:lvlJc w:val="left"/>
      <w:pPr>
        <w:ind w:left="2400" w:hanging="360"/>
      </w:pPr>
      <w:rPr>
        <w:rFonts w:ascii="Wingdings" w:hAnsi="Wingdings"/>
      </w:rPr>
    </w:lvl>
    <w:lvl w:ilvl="6" w:tplc="9328DF38">
      <w:start w:val="1"/>
      <w:numFmt w:val="bullet"/>
      <w:lvlText w:val=""/>
      <w:lvlJc w:val="left"/>
      <w:pPr>
        <w:ind w:left="2800" w:hanging="360"/>
      </w:pPr>
      <w:rPr>
        <w:rFonts w:ascii="Symbol" w:hAnsi="Symbol"/>
      </w:rPr>
    </w:lvl>
    <w:lvl w:ilvl="7" w:tplc="F46EEB50">
      <w:start w:val="1"/>
      <w:numFmt w:val="bullet"/>
      <w:lvlText w:val="o"/>
      <w:lvlJc w:val="left"/>
      <w:pPr>
        <w:ind w:left="3200" w:hanging="360"/>
      </w:pPr>
      <w:rPr>
        <w:rFonts w:ascii="Courier New" w:hAnsi="Courier New"/>
      </w:rPr>
    </w:lvl>
    <w:lvl w:ilvl="8" w:tplc="E0B4D6F8">
      <w:numFmt w:val="decimal"/>
      <w:lvlText w:val=""/>
      <w:lvlJc w:val="left"/>
    </w:lvl>
  </w:abstractNum>
  <w:abstractNum w:abstractNumId="5" w15:restartNumberingAfterBreak="0">
    <w:nsid w:val="41DF3CC7"/>
    <w:multiLevelType w:val="hybridMultilevel"/>
    <w:tmpl w:val="9A9E47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44EB5"/>
    <w:multiLevelType w:val="hybridMultilevel"/>
    <w:tmpl w:val="853C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AE4439"/>
    <w:multiLevelType w:val="hybridMultilevel"/>
    <w:tmpl w:val="E7D47642"/>
    <w:lvl w:ilvl="0" w:tplc="268A0504">
      <w:start w:val="1"/>
      <w:numFmt w:val="bullet"/>
      <w:lvlText w:val=""/>
      <w:lvlJc w:val="left"/>
      <w:pPr>
        <w:ind w:left="400" w:hanging="360"/>
      </w:pPr>
      <w:rPr>
        <w:rFonts w:ascii="Symbol" w:hAnsi="Symbol"/>
      </w:rPr>
    </w:lvl>
    <w:lvl w:ilvl="1" w:tplc="C768611A">
      <w:start w:val="1"/>
      <w:numFmt w:val="bullet"/>
      <w:lvlText w:val="o"/>
      <w:lvlJc w:val="left"/>
      <w:pPr>
        <w:ind w:left="800" w:hanging="360"/>
      </w:pPr>
      <w:rPr>
        <w:rFonts w:ascii="Courier New" w:hAnsi="Courier New"/>
      </w:rPr>
    </w:lvl>
    <w:lvl w:ilvl="2" w:tplc="8428935A">
      <w:start w:val="1"/>
      <w:numFmt w:val="bullet"/>
      <w:lvlText w:val=""/>
      <w:lvlJc w:val="left"/>
      <w:pPr>
        <w:ind w:left="1200" w:hanging="360"/>
      </w:pPr>
      <w:rPr>
        <w:rFonts w:ascii="Wingdings" w:hAnsi="Wingdings"/>
      </w:rPr>
    </w:lvl>
    <w:lvl w:ilvl="3" w:tplc="6CBE436A">
      <w:start w:val="1"/>
      <w:numFmt w:val="bullet"/>
      <w:lvlText w:val=""/>
      <w:lvlJc w:val="left"/>
      <w:pPr>
        <w:ind w:left="1600" w:hanging="360"/>
      </w:pPr>
      <w:rPr>
        <w:rFonts w:ascii="Symbol" w:hAnsi="Symbol"/>
      </w:rPr>
    </w:lvl>
    <w:lvl w:ilvl="4" w:tplc="B18A76C8">
      <w:start w:val="1"/>
      <w:numFmt w:val="bullet"/>
      <w:lvlText w:val="o"/>
      <w:lvlJc w:val="left"/>
      <w:pPr>
        <w:ind w:left="2000" w:hanging="360"/>
      </w:pPr>
      <w:rPr>
        <w:rFonts w:ascii="Courier New" w:hAnsi="Courier New"/>
      </w:rPr>
    </w:lvl>
    <w:lvl w:ilvl="5" w:tplc="6C903814">
      <w:start w:val="1"/>
      <w:numFmt w:val="bullet"/>
      <w:lvlText w:val=""/>
      <w:lvlJc w:val="left"/>
      <w:pPr>
        <w:ind w:left="2400" w:hanging="360"/>
      </w:pPr>
      <w:rPr>
        <w:rFonts w:ascii="Wingdings" w:hAnsi="Wingdings"/>
      </w:rPr>
    </w:lvl>
    <w:lvl w:ilvl="6" w:tplc="9FC82EDA">
      <w:start w:val="1"/>
      <w:numFmt w:val="bullet"/>
      <w:lvlText w:val=""/>
      <w:lvlJc w:val="left"/>
      <w:pPr>
        <w:ind w:left="2800" w:hanging="360"/>
      </w:pPr>
      <w:rPr>
        <w:rFonts w:ascii="Symbol" w:hAnsi="Symbol"/>
      </w:rPr>
    </w:lvl>
    <w:lvl w:ilvl="7" w:tplc="B93E0764">
      <w:start w:val="1"/>
      <w:numFmt w:val="bullet"/>
      <w:lvlText w:val="o"/>
      <w:lvlJc w:val="left"/>
      <w:pPr>
        <w:ind w:left="3200" w:hanging="360"/>
      </w:pPr>
      <w:rPr>
        <w:rFonts w:ascii="Courier New" w:hAnsi="Courier New"/>
      </w:rPr>
    </w:lvl>
    <w:lvl w:ilvl="8" w:tplc="DFDA7008">
      <w:numFmt w:val="decimal"/>
      <w:lvlText w:val=""/>
      <w:lvlJc w:val="left"/>
    </w:lvl>
  </w:abstractNum>
  <w:abstractNum w:abstractNumId="8" w15:restartNumberingAfterBreak="0">
    <w:nsid w:val="476A6172"/>
    <w:multiLevelType w:val="hybridMultilevel"/>
    <w:tmpl w:val="56E868EC"/>
    <w:lvl w:ilvl="0" w:tplc="A4CE07DE">
      <w:start w:val="1"/>
      <w:numFmt w:val="bullet"/>
      <w:lvlText w:val=""/>
      <w:lvlJc w:val="left"/>
      <w:pPr>
        <w:ind w:left="400" w:hanging="360"/>
      </w:pPr>
      <w:rPr>
        <w:rFonts w:ascii="Symbol" w:hAnsi="Symbol"/>
      </w:rPr>
    </w:lvl>
    <w:lvl w:ilvl="1" w:tplc="3A006DF2">
      <w:start w:val="1"/>
      <w:numFmt w:val="bullet"/>
      <w:lvlText w:val="o"/>
      <w:lvlJc w:val="left"/>
      <w:pPr>
        <w:ind w:left="800" w:hanging="360"/>
      </w:pPr>
      <w:rPr>
        <w:rFonts w:ascii="Courier New" w:hAnsi="Courier New"/>
      </w:rPr>
    </w:lvl>
    <w:lvl w:ilvl="2" w:tplc="63F04684">
      <w:start w:val="1"/>
      <w:numFmt w:val="bullet"/>
      <w:lvlText w:val=""/>
      <w:lvlJc w:val="left"/>
      <w:pPr>
        <w:ind w:left="1200" w:hanging="360"/>
      </w:pPr>
      <w:rPr>
        <w:rFonts w:ascii="Wingdings" w:hAnsi="Wingdings"/>
      </w:rPr>
    </w:lvl>
    <w:lvl w:ilvl="3" w:tplc="91226094">
      <w:start w:val="1"/>
      <w:numFmt w:val="bullet"/>
      <w:lvlText w:val=""/>
      <w:lvlJc w:val="left"/>
      <w:pPr>
        <w:ind w:left="1600" w:hanging="360"/>
      </w:pPr>
      <w:rPr>
        <w:rFonts w:ascii="Symbol" w:hAnsi="Symbol"/>
      </w:rPr>
    </w:lvl>
    <w:lvl w:ilvl="4" w:tplc="91AACC6C">
      <w:start w:val="1"/>
      <w:numFmt w:val="bullet"/>
      <w:lvlText w:val="o"/>
      <w:lvlJc w:val="left"/>
      <w:pPr>
        <w:ind w:left="2000" w:hanging="360"/>
      </w:pPr>
      <w:rPr>
        <w:rFonts w:ascii="Courier New" w:hAnsi="Courier New"/>
      </w:rPr>
    </w:lvl>
    <w:lvl w:ilvl="5" w:tplc="FF48FEA8">
      <w:start w:val="1"/>
      <w:numFmt w:val="bullet"/>
      <w:lvlText w:val=""/>
      <w:lvlJc w:val="left"/>
      <w:pPr>
        <w:ind w:left="2400" w:hanging="360"/>
      </w:pPr>
      <w:rPr>
        <w:rFonts w:ascii="Wingdings" w:hAnsi="Wingdings"/>
      </w:rPr>
    </w:lvl>
    <w:lvl w:ilvl="6" w:tplc="1EFC2608">
      <w:start w:val="1"/>
      <w:numFmt w:val="bullet"/>
      <w:lvlText w:val=""/>
      <w:lvlJc w:val="left"/>
      <w:pPr>
        <w:ind w:left="2800" w:hanging="360"/>
      </w:pPr>
      <w:rPr>
        <w:rFonts w:ascii="Symbol" w:hAnsi="Symbol"/>
      </w:rPr>
    </w:lvl>
    <w:lvl w:ilvl="7" w:tplc="7B525BB6">
      <w:start w:val="1"/>
      <w:numFmt w:val="bullet"/>
      <w:lvlText w:val="o"/>
      <w:lvlJc w:val="left"/>
      <w:pPr>
        <w:ind w:left="3200" w:hanging="360"/>
      </w:pPr>
      <w:rPr>
        <w:rFonts w:ascii="Courier New" w:hAnsi="Courier New"/>
      </w:rPr>
    </w:lvl>
    <w:lvl w:ilvl="8" w:tplc="E1A2A41A">
      <w:numFmt w:val="decimal"/>
      <w:lvlText w:val=""/>
      <w:lvlJc w:val="left"/>
    </w:lvl>
  </w:abstractNum>
  <w:abstractNum w:abstractNumId="9" w15:restartNumberingAfterBreak="0">
    <w:nsid w:val="487868B0"/>
    <w:multiLevelType w:val="hybridMultilevel"/>
    <w:tmpl w:val="D0BA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C5AC6"/>
    <w:multiLevelType w:val="hybridMultilevel"/>
    <w:tmpl w:val="3A043AEC"/>
    <w:lvl w:ilvl="0" w:tplc="CC020F80">
      <w:start w:val="1"/>
      <w:numFmt w:val="bullet"/>
      <w:lvlText w:val=""/>
      <w:lvlJc w:val="left"/>
      <w:pPr>
        <w:ind w:left="400" w:hanging="360"/>
      </w:pPr>
      <w:rPr>
        <w:rFonts w:ascii="Symbol" w:hAnsi="Symbol"/>
      </w:rPr>
    </w:lvl>
    <w:lvl w:ilvl="1" w:tplc="F39A1B66">
      <w:start w:val="1"/>
      <w:numFmt w:val="bullet"/>
      <w:lvlText w:val="o"/>
      <w:lvlJc w:val="left"/>
      <w:pPr>
        <w:ind w:left="800" w:hanging="360"/>
      </w:pPr>
      <w:rPr>
        <w:rFonts w:ascii="Courier New" w:hAnsi="Courier New"/>
      </w:rPr>
    </w:lvl>
    <w:lvl w:ilvl="2" w:tplc="8A3E148E">
      <w:start w:val="1"/>
      <w:numFmt w:val="bullet"/>
      <w:lvlText w:val=""/>
      <w:lvlJc w:val="left"/>
      <w:pPr>
        <w:ind w:left="1200" w:hanging="360"/>
      </w:pPr>
      <w:rPr>
        <w:rFonts w:ascii="Wingdings" w:hAnsi="Wingdings"/>
      </w:rPr>
    </w:lvl>
    <w:lvl w:ilvl="3" w:tplc="E1E6D02E">
      <w:start w:val="1"/>
      <w:numFmt w:val="bullet"/>
      <w:lvlText w:val=""/>
      <w:lvlJc w:val="left"/>
      <w:pPr>
        <w:ind w:left="1600" w:hanging="360"/>
      </w:pPr>
      <w:rPr>
        <w:rFonts w:ascii="Symbol" w:hAnsi="Symbol"/>
      </w:rPr>
    </w:lvl>
    <w:lvl w:ilvl="4" w:tplc="34ECA3B4">
      <w:start w:val="1"/>
      <w:numFmt w:val="bullet"/>
      <w:lvlText w:val="o"/>
      <w:lvlJc w:val="left"/>
      <w:pPr>
        <w:ind w:left="2000" w:hanging="360"/>
      </w:pPr>
      <w:rPr>
        <w:rFonts w:ascii="Courier New" w:hAnsi="Courier New"/>
      </w:rPr>
    </w:lvl>
    <w:lvl w:ilvl="5" w:tplc="B1BADC00">
      <w:start w:val="1"/>
      <w:numFmt w:val="bullet"/>
      <w:lvlText w:val=""/>
      <w:lvlJc w:val="left"/>
      <w:pPr>
        <w:ind w:left="2400" w:hanging="360"/>
      </w:pPr>
      <w:rPr>
        <w:rFonts w:ascii="Wingdings" w:hAnsi="Wingdings"/>
      </w:rPr>
    </w:lvl>
    <w:lvl w:ilvl="6" w:tplc="AC14E546">
      <w:start w:val="1"/>
      <w:numFmt w:val="bullet"/>
      <w:lvlText w:val=""/>
      <w:lvlJc w:val="left"/>
      <w:pPr>
        <w:ind w:left="2800" w:hanging="360"/>
      </w:pPr>
      <w:rPr>
        <w:rFonts w:ascii="Symbol" w:hAnsi="Symbol"/>
      </w:rPr>
    </w:lvl>
    <w:lvl w:ilvl="7" w:tplc="62828618">
      <w:start w:val="1"/>
      <w:numFmt w:val="bullet"/>
      <w:lvlText w:val="o"/>
      <w:lvlJc w:val="left"/>
      <w:pPr>
        <w:ind w:left="3200" w:hanging="360"/>
      </w:pPr>
      <w:rPr>
        <w:rFonts w:ascii="Courier New" w:hAnsi="Courier New"/>
      </w:rPr>
    </w:lvl>
    <w:lvl w:ilvl="8" w:tplc="B5B0D55E">
      <w:numFmt w:val="decimal"/>
      <w:lvlText w:val=""/>
      <w:lvlJc w:val="left"/>
    </w:lvl>
  </w:abstractNum>
  <w:abstractNum w:abstractNumId="11"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2" w15:restartNumberingAfterBreak="0">
    <w:nsid w:val="54FE4CB9"/>
    <w:multiLevelType w:val="hybridMultilevel"/>
    <w:tmpl w:val="3524F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B64A7"/>
    <w:multiLevelType w:val="hybridMultilevel"/>
    <w:tmpl w:val="43A8D298"/>
    <w:lvl w:ilvl="0" w:tplc="8A520C78">
      <w:start w:val="1"/>
      <w:numFmt w:val="bullet"/>
      <w:lvlText w:val=""/>
      <w:lvlJc w:val="left"/>
      <w:pPr>
        <w:ind w:left="400" w:hanging="360"/>
      </w:pPr>
      <w:rPr>
        <w:rFonts w:ascii="Symbol" w:hAnsi="Symbol"/>
      </w:rPr>
    </w:lvl>
    <w:lvl w:ilvl="1" w:tplc="BA24B05A">
      <w:start w:val="1"/>
      <w:numFmt w:val="bullet"/>
      <w:lvlText w:val="o"/>
      <w:lvlJc w:val="left"/>
      <w:pPr>
        <w:ind w:left="800" w:hanging="360"/>
      </w:pPr>
      <w:rPr>
        <w:rFonts w:ascii="Courier New" w:hAnsi="Courier New"/>
      </w:rPr>
    </w:lvl>
    <w:lvl w:ilvl="2" w:tplc="DA629FF2">
      <w:start w:val="1"/>
      <w:numFmt w:val="bullet"/>
      <w:lvlText w:val=""/>
      <w:lvlJc w:val="left"/>
      <w:pPr>
        <w:ind w:left="1200" w:hanging="360"/>
      </w:pPr>
      <w:rPr>
        <w:rFonts w:ascii="Wingdings" w:hAnsi="Wingdings"/>
      </w:rPr>
    </w:lvl>
    <w:lvl w:ilvl="3" w:tplc="90BCE9CC">
      <w:start w:val="1"/>
      <w:numFmt w:val="bullet"/>
      <w:lvlText w:val=""/>
      <w:lvlJc w:val="left"/>
      <w:pPr>
        <w:ind w:left="1600" w:hanging="360"/>
      </w:pPr>
      <w:rPr>
        <w:rFonts w:ascii="Symbol" w:hAnsi="Symbol"/>
      </w:rPr>
    </w:lvl>
    <w:lvl w:ilvl="4" w:tplc="D4D47BB4">
      <w:start w:val="1"/>
      <w:numFmt w:val="bullet"/>
      <w:lvlText w:val="o"/>
      <w:lvlJc w:val="left"/>
      <w:pPr>
        <w:ind w:left="2000" w:hanging="360"/>
      </w:pPr>
      <w:rPr>
        <w:rFonts w:ascii="Courier New" w:hAnsi="Courier New"/>
      </w:rPr>
    </w:lvl>
    <w:lvl w:ilvl="5" w:tplc="4C8C01E0">
      <w:start w:val="1"/>
      <w:numFmt w:val="bullet"/>
      <w:lvlText w:val=""/>
      <w:lvlJc w:val="left"/>
      <w:pPr>
        <w:ind w:left="2400" w:hanging="360"/>
      </w:pPr>
      <w:rPr>
        <w:rFonts w:ascii="Wingdings" w:hAnsi="Wingdings"/>
      </w:rPr>
    </w:lvl>
    <w:lvl w:ilvl="6" w:tplc="6D78F53C">
      <w:start w:val="1"/>
      <w:numFmt w:val="bullet"/>
      <w:lvlText w:val=""/>
      <w:lvlJc w:val="left"/>
      <w:pPr>
        <w:ind w:left="2800" w:hanging="360"/>
      </w:pPr>
      <w:rPr>
        <w:rFonts w:ascii="Symbol" w:hAnsi="Symbol"/>
      </w:rPr>
    </w:lvl>
    <w:lvl w:ilvl="7" w:tplc="85F47AAE">
      <w:start w:val="1"/>
      <w:numFmt w:val="bullet"/>
      <w:lvlText w:val="o"/>
      <w:lvlJc w:val="left"/>
      <w:pPr>
        <w:ind w:left="3200" w:hanging="360"/>
      </w:pPr>
      <w:rPr>
        <w:rFonts w:ascii="Courier New" w:hAnsi="Courier New"/>
      </w:rPr>
    </w:lvl>
    <w:lvl w:ilvl="8" w:tplc="F64C4922">
      <w:numFmt w:val="decimal"/>
      <w:lvlText w:val=""/>
      <w:lvlJc w:val="left"/>
    </w:lvl>
  </w:abstractNum>
  <w:abstractNum w:abstractNumId="14" w15:restartNumberingAfterBreak="0">
    <w:nsid w:val="654B4885"/>
    <w:multiLevelType w:val="hybridMultilevel"/>
    <w:tmpl w:val="C966E9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6906CF"/>
    <w:multiLevelType w:val="hybridMultilevel"/>
    <w:tmpl w:val="B0949DCE"/>
    <w:lvl w:ilvl="0" w:tplc="6BECC286">
      <w:start w:val="1"/>
      <w:numFmt w:val="decimal"/>
      <w:lvlText w:val="%1."/>
      <w:lvlJc w:val="left"/>
      <w:pPr>
        <w:ind w:left="400" w:hanging="360"/>
      </w:pPr>
    </w:lvl>
    <w:lvl w:ilvl="1" w:tplc="3C748C04">
      <w:start w:val="1"/>
      <w:numFmt w:val="lowerLetter"/>
      <w:lvlText w:val="%2."/>
      <w:lvlJc w:val="left"/>
      <w:pPr>
        <w:ind w:left="800" w:hanging="360"/>
      </w:pPr>
    </w:lvl>
    <w:lvl w:ilvl="2" w:tplc="0F0A689E">
      <w:start w:val="1"/>
      <w:numFmt w:val="lowerRoman"/>
      <w:lvlText w:val="%3."/>
      <w:lvlJc w:val="right"/>
      <w:pPr>
        <w:ind w:left="1200" w:hanging="180"/>
      </w:pPr>
    </w:lvl>
    <w:lvl w:ilvl="3" w:tplc="D00ABEB8">
      <w:start w:val="1"/>
      <w:numFmt w:val="decimal"/>
      <w:lvlText w:val="%4."/>
      <w:lvlJc w:val="left"/>
      <w:pPr>
        <w:ind w:left="1600" w:hanging="360"/>
      </w:pPr>
    </w:lvl>
    <w:lvl w:ilvl="4" w:tplc="319C9416">
      <w:start w:val="1"/>
      <w:numFmt w:val="lowerLetter"/>
      <w:lvlText w:val="%5."/>
      <w:lvlJc w:val="left"/>
      <w:pPr>
        <w:ind w:left="2000" w:hanging="360"/>
      </w:pPr>
    </w:lvl>
    <w:lvl w:ilvl="5" w:tplc="BD7830CC">
      <w:start w:val="1"/>
      <w:numFmt w:val="lowerRoman"/>
      <w:lvlText w:val="%6."/>
      <w:lvlJc w:val="right"/>
      <w:pPr>
        <w:ind w:left="2400" w:hanging="180"/>
      </w:pPr>
    </w:lvl>
    <w:lvl w:ilvl="6" w:tplc="78D65034">
      <w:start w:val="1"/>
      <w:numFmt w:val="decimal"/>
      <w:lvlText w:val="%7."/>
      <w:lvlJc w:val="left"/>
      <w:pPr>
        <w:ind w:left="2800" w:hanging="360"/>
      </w:pPr>
    </w:lvl>
    <w:lvl w:ilvl="7" w:tplc="4C98F9C6">
      <w:start w:val="1"/>
      <w:numFmt w:val="lowerLetter"/>
      <w:lvlText w:val="%8."/>
      <w:lvlJc w:val="left"/>
      <w:pPr>
        <w:ind w:left="3200" w:hanging="360"/>
      </w:pPr>
    </w:lvl>
    <w:lvl w:ilvl="8" w:tplc="D96CB096">
      <w:numFmt w:val="decimal"/>
      <w:lvlText w:val=""/>
      <w:lvlJc w:val="left"/>
    </w:lvl>
  </w:abstractNum>
  <w:abstractNum w:abstractNumId="16" w15:restartNumberingAfterBreak="0">
    <w:nsid w:val="70BA5C06"/>
    <w:multiLevelType w:val="hybridMultilevel"/>
    <w:tmpl w:val="348E955C"/>
    <w:lvl w:ilvl="0" w:tplc="9550AAAA">
      <w:start w:val="1"/>
      <w:numFmt w:val="decimal"/>
      <w:lvlText w:val="%1."/>
      <w:lvlJc w:val="left"/>
      <w:pPr>
        <w:ind w:left="400" w:hanging="360"/>
      </w:pPr>
    </w:lvl>
    <w:lvl w:ilvl="1" w:tplc="AC64E434">
      <w:start w:val="1"/>
      <w:numFmt w:val="lowerLetter"/>
      <w:lvlText w:val="%2."/>
      <w:lvlJc w:val="left"/>
      <w:pPr>
        <w:ind w:left="800" w:hanging="360"/>
      </w:pPr>
    </w:lvl>
    <w:lvl w:ilvl="2" w:tplc="216C74F4">
      <w:start w:val="1"/>
      <w:numFmt w:val="lowerRoman"/>
      <w:lvlText w:val="%3."/>
      <w:lvlJc w:val="right"/>
      <w:pPr>
        <w:ind w:left="1200" w:hanging="180"/>
      </w:pPr>
    </w:lvl>
    <w:lvl w:ilvl="3" w:tplc="4D1A2FA8">
      <w:start w:val="1"/>
      <w:numFmt w:val="decimal"/>
      <w:lvlText w:val="%4."/>
      <w:lvlJc w:val="left"/>
      <w:pPr>
        <w:ind w:left="1600" w:hanging="360"/>
      </w:pPr>
    </w:lvl>
    <w:lvl w:ilvl="4" w:tplc="90BE76D6">
      <w:start w:val="1"/>
      <w:numFmt w:val="lowerLetter"/>
      <w:lvlText w:val="%5."/>
      <w:lvlJc w:val="left"/>
      <w:pPr>
        <w:ind w:left="2000" w:hanging="360"/>
      </w:pPr>
    </w:lvl>
    <w:lvl w:ilvl="5" w:tplc="506813D2">
      <w:start w:val="1"/>
      <w:numFmt w:val="lowerRoman"/>
      <w:lvlText w:val="%6."/>
      <w:lvlJc w:val="right"/>
      <w:pPr>
        <w:ind w:left="2400" w:hanging="180"/>
      </w:pPr>
    </w:lvl>
    <w:lvl w:ilvl="6" w:tplc="A91AE3BA">
      <w:start w:val="1"/>
      <w:numFmt w:val="decimal"/>
      <w:lvlText w:val="%7."/>
      <w:lvlJc w:val="left"/>
      <w:pPr>
        <w:ind w:left="2800" w:hanging="360"/>
      </w:pPr>
    </w:lvl>
    <w:lvl w:ilvl="7" w:tplc="052823B4">
      <w:start w:val="1"/>
      <w:numFmt w:val="lowerLetter"/>
      <w:lvlText w:val="%8."/>
      <w:lvlJc w:val="left"/>
      <w:pPr>
        <w:ind w:left="3200" w:hanging="360"/>
      </w:pPr>
    </w:lvl>
    <w:lvl w:ilvl="8" w:tplc="FA8EC704">
      <w:numFmt w:val="decimal"/>
      <w:lvlText w:val=""/>
      <w:lvlJc w:val="left"/>
    </w:lvl>
  </w:abstractNum>
  <w:abstractNum w:abstractNumId="17" w15:restartNumberingAfterBreak="0">
    <w:nsid w:val="7AA617C5"/>
    <w:multiLevelType w:val="hybridMultilevel"/>
    <w:tmpl w:val="287093D8"/>
    <w:lvl w:ilvl="0" w:tplc="48565DF0">
      <w:start w:val="1"/>
      <w:numFmt w:val="bullet"/>
      <w:lvlText w:val=""/>
      <w:lvlJc w:val="left"/>
      <w:pPr>
        <w:ind w:left="400" w:hanging="360"/>
      </w:pPr>
      <w:rPr>
        <w:rFonts w:ascii="Symbol" w:hAnsi="Symbol"/>
      </w:rPr>
    </w:lvl>
    <w:lvl w:ilvl="1" w:tplc="49E0967A">
      <w:start w:val="1"/>
      <w:numFmt w:val="bullet"/>
      <w:lvlText w:val="o"/>
      <w:lvlJc w:val="left"/>
      <w:pPr>
        <w:ind w:left="800" w:hanging="360"/>
      </w:pPr>
      <w:rPr>
        <w:rFonts w:ascii="Courier New" w:hAnsi="Courier New"/>
      </w:rPr>
    </w:lvl>
    <w:lvl w:ilvl="2" w:tplc="4B008F60">
      <w:start w:val="1"/>
      <w:numFmt w:val="bullet"/>
      <w:lvlText w:val=""/>
      <w:lvlJc w:val="left"/>
      <w:pPr>
        <w:ind w:left="1200" w:hanging="360"/>
      </w:pPr>
      <w:rPr>
        <w:rFonts w:ascii="Wingdings" w:hAnsi="Wingdings"/>
      </w:rPr>
    </w:lvl>
    <w:lvl w:ilvl="3" w:tplc="E8DC05F2">
      <w:start w:val="1"/>
      <w:numFmt w:val="bullet"/>
      <w:lvlText w:val=""/>
      <w:lvlJc w:val="left"/>
      <w:pPr>
        <w:ind w:left="1600" w:hanging="360"/>
      </w:pPr>
      <w:rPr>
        <w:rFonts w:ascii="Symbol" w:hAnsi="Symbol"/>
      </w:rPr>
    </w:lvl>
    <w:lvl w:ilvl="4" w:tplc="99060D22">
      <w:start w:val="1"/>
      <w:numFmt w:val="bullet"/>
      <w:lvlText w:val="o"/>
      <w:lvlJc w:val="left"/>
      <w:pPr>
        <w:ind w:left="2000" w:hanging="360"/>
      </w:pPr>
      <w:rPr>
        <w:rFonts w:ascii="Courier New" w:hAnsi="Courier New"/>
      </w:rPr>
    </w:lvl>
    <w:lvl w:ilvl="5" w:tplc="195C1FE0">
      <w:start w:val="1"/>
      <w:numFmt w:val="bullet"/>
      <w:lvlText w:val=""/>
      <w:lvlJc w:val="left"/>
      <w:pPr>
        <w:ind w:left="2400" w:hanging="360"/>
      </w:pPr>
      <w:rPr>
        <w:rFonts w:ascii="Wingdings" w:hAnsi="Wingdings"/>
      </w:rPr>
    </w:lvl>
    <w:lvl w:ilvl="6" w:tplc="30EC5A46">
      <w:start w:val="1"/>
      <w:numFmt w:val="bullet"/>
      <w:lvlText w:val=""/>
      <w:lvlJc w:val="left"/>
      <w:pPr>
        <w:ind w:left="2800" w:hanging="360"/>
      </w:pPr>
      <w:rPr>
        <w:rFonts w:ascii="Symbol" w:hAnsi="Symbol"/>
      </w:rPr>
    </w:lvl>
    <w:lvl w:ilvl="7" w:tplc="AC224626">
      <w:start w:val="1"/>
      <w:numFmt w:val="bullet"/>
      <w:lvlText w:val="o"/>
      <w:lvlJc w:val="left"/>
      <w:pPr>
        <w:ind w:left="3200" w:hanging="360"/>
      </w:pPr>
      <w:rPr>
        <w:rFonts w:ascii="Courier New" w:hAnsi="Courier New"/>
      </w:rPr>
    </w:lvl>
    <w:lvl w:ilvl="8" w:tplc="86AA8A84">
      <w:numFmt w:val="decimal"/>
      <w:lvlText w:val=""/>
      <w:lvlJc w:val="left"/>
    </w:lvl>
  </w:abstractNum>
  <w:num w:numId="1" w16cid:durableId="1726029664">
    <w:abstractNumId w:val="3"/>
  </w:num>
  <w:num w:numId="2" w16cid:durableId="2049911063">
    <w:abstractNumId w:val="16"/>
  </w:num>
  <w:num w:numId="3" w16cid:durableId="495805826">
    <w:abstractNumId w:val="10"/>
  </w:num>
  <w:num w:numId="4" w16cid:durableId="410351787">
    <w:abstractNumId w:val="15"/>
  </w:num>
  <w:num w:numId="5" w16cid:durableId="1049721810">
    <w:abstractNumId w:val="13"/>
  </w:num>
  <w:num w:numId="6" w16cid:durableId="1477409059">
    <w:abstractNumId w:val="8"/>
  </w:num>
  <w:num w:numId="7" w16cid:durableId="2003269651">
    <w:abstractNumId w:val="7"/>
  </w:num>
  <w:num w:numId="8" w16cid:durableId="1688487468">
    <w:abstractNumId w:val="17"/>
  </w:num>
  <w:num w:numId="9" w16cid:durableId="443043647">
    <w:abstractNumId w:val="0"/>
  </w:num>
  <w:num w:numId="10" w16cid:durableId="1243030706">
    <w:abstractNumId w:val="4"/>
  </w:num>
  <w:num w:numId="11" w16cid:durableId="694893300">
    <w:abstractNumId w:val="12"/>
  </w:num>
  <w:num w:numId="12" w16cid:durableId="1672180061">
    <w:abstractNumId w:val="5"/>
  </w:num>
  <w:num w:numId="13" w16cid:durableId="1838185465">
    <w:abstractNumId w:val="14"/>
  </w:num>
  <w:num w:numId="14" w16cid:durableId="377895137">
    <w:abstractNumId w:val="6"/>
  </w:num>
  <w:num w:numId="15" w16cid:durableId="2016178533">
    <w:abstractNumId w:val="1"/>
  </w:num>
  <w:num w:numId="16" w16cid:durableId="1658536161">
    <w:abstractNumId w:val="11"/>
  </w:num>
  <w:num w:numId="17" w16cid:durableId="1223102427">
    <w:abstractNumId w:val="2"/>
  </w:num>
  <w:num w:numId="18" w16cid:durableId="12973734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A62EE"/>
    <w:rsid w:val="000A62EE"/>
    <w:rsid w:val="00156C55"/>
    <w:rsid w:val="001F5B5A"/>
    <w:rsid w:val="0057460D"/>
    <w:rsid w:val="006250E2"/>
    <w:rsid w:val="00662E3F"/>
    <w:rsid w:val="00843B18"/>
    <w:rsid w:val="00B42D73"/>
    <w:rsid w:val="00B73162"/>
    <w:rsid w:val="00CB0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CF0544"/>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Bullets,P‡rrafo de lista,lp1,ANNEX,List Square,ADB paragraph numbering,List Paragraph (numbered (a)),Main numbered paragraph,Bullet,Numeracion iniciativas,ASPECTOS GENERALES,Cuadro 2-1,Párrafo de lista2,Footnote"/>
    <w:basedOn w:val="Normal"/>
    <w:link w:val="ListParagraphChar"/>
    <w:uiPriority w:val="34"/>
    <w:qFormat/>
    <w:rsid w:val="00662E3F"/>
    <w:pPr>
      <w:ind w:left="720"/>
      <w:contextualSpacing/>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662E3F"/>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662E3F"/>
    <w:rPr>
      <w:sz w:val="20"/>
      <w:szCs w:val="20"/>
    </w:rPr>
  </w:style>
  <w:style w:type="character" w:styleId="FootnoteReference">
    <w:name w:val="footnote reference"/>
    <w:basedOn w:val="DefaultParagraphFont"/>
    <w:uiPriority w:val="99"/>
    <w:semiHidden/>
    <w:unhideWhenUsed/>
    <w:rsid w:val="00662E3F"/>
    <w:rPr>
      <w:vertAlign w:val="superscript"/>
    </w:rPr>
  </w:style>
  <w:style w:type="character" w:styleId="Hyperlink">
    <w:name w:val="Hyperlink"/>
    <w:basedOn w:val="DefaultParagraphFont"/>
    <w:uiPriority w:val="99"/>
    <w:unhideWhenUsed/>
    <w:rsid w:val="00662E3F"/>
    <w:rPr>
      <w:color w:val="0563C1" w:themeColor="hyperlink"/>
      <w:u w:val="single"/>
    </w:rPr>
  </w:style>
  <w:style w:type="table" w:styleId="TableGrid">
    <w:name w:val="Table Grid"/>
    <w:basedOn w:val="TableNormal"/>
    <w:uiPriority w:val="39"/>
    <w:rsid w:val="001F5B5A"/>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5B5A"/>
    <w:rPr>
      <w:sz w:val="16"/>
      <w:szCs w:val="16"/>
    </w:rPr>
  </w:style>
  <w:style w:type="character" w:customStyle="1" w:styleId="ListParagraphChar">
    <w:name w:val="List Paragraph Char"/>
    <w:aliases w:val="Dot pt Char,List Paragraph1 Char,Bullets Char,P‡rrafo de lista Char,lp1 Char,ANNEX Char,List Square Char,ADB paragraph numbering Char,List Paragraph (numbered (a)) Char,Main numbered paragraph Char,Bullet Char,ASPECTOS GENERALES Char"/>
    <w:link w:val="ListParagraph"/>
    <w:uiPriority w:val="34"/>
    <w:qFormat/>
    <w:rsid w:val="001F5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un-redd.org/sites/default/files/2021-10/InfoBrief__Summaries_of_information_30Sep%20%28735777%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7</cp:revision>
  <dcterms:created xsi:type="dcterms:W3CDTF">2024-05-31T17:25:00Z</dcterms:created>
  <dcterms:modified xsi:type="dcterms:W3CDTF">2024-06-02T23:08:00Z</dcterms:modified>
</cp:coreProperties>
</file>